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bookmarkEnd w:id="0"/>
    <w:tbl>
      <w:tblPr>
        <w:tblStyle w:val="5"/>
        <w:tblpPr w:leftFromText="180" w:rightFromText="180" w:vertAnchor="text" w:horzAnchor="page" w:tblpX="1510" w:tblpY="442"/>
        <w:tblOverlap w:val="never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03"/>
        <w:gridCol w:w="1711"/>
        <w:gridCol w:w="2807"/>
        <w:gridCol w:w="793"/>
        <w:gridCol w:w="672"/>
        <w:gridCol w:w="948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新建商业服务业设施、公园绿地项目(泰康金融中心)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武汉东瑞置业有限公司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中国建筑科学研究院有限公司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武汉大学重离子医学中心暨汉南区人民医院改扩建项目（地块二）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武汉市汉南区人民医院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武汉建工集团股份有限公司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中国建筑科学研究院有限公司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武汉城建金地和悦一期（E、F地块）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武汉武建富强悦泽置业有限公司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北京都市霍普建筑设计有限公司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武汉蔡甸吾悦广场项目C地块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武汉恒烨房地产开发有限公司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基准方中建筑设计股份有限公司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武汉洪东方建设工程质量检测有限公司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武汉长轩岭小学整体迁建项目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武汉市木兰文化旅游发展投资有限公司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湖北中城科绿色建筑研究院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江汉区贺家墩小学（暂定名）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武汉市江汉区教育局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湖北绿达工程咨询有限公司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新建商业、商务、公园与绿地、交通场站项目（武汉长江中心A1、B1、J1、J2、J3地块）一期A1B1集中商业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御宁（武汉）房地产开发有限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公司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华东建筑设计研究院有限公司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认定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46.34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人工智能教学科研大楼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湖北和信森创工程技术有限公司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认定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D0D0D" w:themeColor="text1" w:themeTint="F2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136E"/>
    <w:rsid w:val="1CC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武汉国土规划局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2024-07-02T09:04:00Z</dcterms:created>
  <dc:creator>信息中心</dc:creator>
  <cp:lastModifiedBy>信息中心</cp:lastModifiedBy>
  <dcterms:modified xsi:type="dcterms:W3CDTF">2024-07-02T09:04:43Z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