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center"/>
        <w:rPr>
          <w:rFonts w:hint="default" w:ascii="Times New Roman" w:hAnsi="Times New Roman" w:eastAsia="仿宋_GB2312" w:cs="Times New Roman"/>
          <w:b/>
          <w:bCs/>
          <w:color w:val="auto"/>
          <w:sz w:val="44"/>
          <w:szCs w:val="44"/>
        </w:rPr>
      </w:pPr>
      <w:bookmarkStart w:id="0" w:name="OLE_LINK32"/>
      <w:bookmarkStart w:id="1" w:name="OLE_LINK33"/>
    </w:p>
    <w:p>
      <w:pPr>
        <w:spacing w:before="156" w:beforeLines="50" w:line="560" w:lineRule="exact"/>
        <w:jc w:val="center"/>
        <w:rPr>
          <w:rFonts w:hint="default" w:ascii="Times New Roman" w:hAnsi="Times New Roman" w:eastAsia="仿宋_GB2312" w:cs="Times New Roman"/>
          <w:b/>
          <w:bCs/>
          <w:color w:val="auto"/>
          <w:sz w:val="44"/>
          <w:szCs w:val="44"/>
        </w:rPr>
      </w:pPr>
    </w:p>
    <w:p>
      <w:pPr>
        <w:spacing w:before="156" w:beforeLines="50" w:line="560" w:lineRule="exact"/>
        <w:jc w:val="center"/>
        <w:rPr>
          <w:rFonts w:hint="default" w:ascii="Times New Roman" w:hAnsi="Times New Roman" w:eastAsia="仿宋_GB2312" w:cs="Times New Roman"/>
          <w:b/>
          <w:bCs/>
          <w:color w:val="auto"/>
          <w:sz w:val="44"/>
          <w:szCs w:val="44"/>
        </w:rPr>
      </w:pPr>
    </w:p>
    <w:p>
      <w:pPr>
        <w:spacing w:before="156" w:beforeLines="50" w:line="360" w:lineRule="auto"/>
        <w:jc w:val="center"/>
        <w:rPr>
          <w:rFonts w:hint="default" w:ascii="Times New Roman" w:hAnsi="Times New Roman" w:eastAsia="仿宋_GB2312" w:cs="Times New Roman"/>
          <w:b/>
          <w:bCs/>
          <w:color w:val="auto"/>
          <w:sz w:val="68"/>
          <w:szCs w:val="68"/>
        </w:rPr>
      </w:pPr>
      <w:r>
        <w:rPr>
          <w:rFonts w:hint="default" w:ascii="Times New Roman" w:hAnsi="Times New Roman" w:eastAsia="仿宋_GB2312" w:cs="Times New Roman"/>
          <w:b/>
          <w:bCs/>
          <w:color w:val="auto"/>
          <w:sz w:val="68"/>
          <w:szCs w:val="68"/>
        </w:rPr>
        <w:t>武汉市绿色建筑“十五五”发展规划</w:t>
      </w:r>
    </w:p>
    <w:p>
      <w:pPr>
        <w:spacing w:line="560" w:lineRule="exact"/>
        <w:jc w:val="center"/>
        <w:rPr>
          <w:rFonts w:hint="default" w:ascii="Times New Roman" w:hAnsi="Times New Roman" w:eastAsia="方正小标宋简体" w:cs="Times New Roman"/>
          <w:color w:val="auto"/>
          <w:sz w:val="30"/>
          <w:szCs w:val="30"/>
        </w:rPr>
      </w:pPr>
    </w:p>
    <w:p>
      <w:pPr>
        <w:spacing w:line="56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（征求意见稿）</w:t>
      </w: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jc w:val="center"/>
        <w:rPr>
          <w:rFonts w:hint="default" w:ascii="Times New Roman" w:hAnsi="Times New Roman" w:cs="Times New Roman"/>
          <w:color w:val="auto"/>
          <w:sz w:val="30"/>
          <w:szCs w:val="30"/>
        </w:rPr>
      </w:pPr>
      <w:r>
        <w:rPr>
          <w:rFonts w:hint="default" w:ascii="Times New Roman" w:hAnsi="Times New Roman" w:cs="Times New Roman"/>
          <w:color w:val="auto"/>
          <w:sz w:val="30"/>
          <w:szCs w:val="30"/>
        </w:rPr>
        <w:t>2025年10月</w:t>
      </w:r>
    </w:p>
    <w:p>
      <w:pPr>
        <w:pStyle w:val="2"/>
        <w:rPr>
          <w:rFonts w:hint="default" w:ascii="Times New Roman" w:hAnsi="Times New Roman" w:cs="Times New Roman"/>
          <w:color w:val="auto"/>
        </w:rPr>
      </w:pPr>
    </w:p>
    <w:p>
      <w:pPr>
        <w:spacing w:before="156" w:beforeLines="50" w:line="560" w:lineRule="exact"/>
        <w:jc w:val="center"/>
        <w:rPr>
          <w:rFonts w:hint="default" w:ascii="Times New Roman" w:hAnsi="Times New Roman" w:eastAsia="仿宋_GB2312" w:cs="Times New Roman"/>
          <w:b/>
          <w:bCs/>
          <w:color w:val="auto"/>
          <w:sz w:val="44"/>
          <w:szCs w:val="44"/>
        </w:rPr>
        <w:sectPr>
          <w:footerReference r:id="rId5" w:type="default"/>
          <w:pgSz w:w="11906" w:h="16838"/>
          <w:pgMar w:top="1440" w:right="1800" w:bottom="1440" w:left="1800" w:header="851" w:footer="992" w:gutter="0"/>
          <w:cols w:space="425" w:num="1"/>
          <w:docGrid w:type="lines" w:linePitch="312" w:charSpace="0"/>
        </w:sectPr>
      </w:pPr>
    </w:p>
    <w:p>
      <w:pPr>
        <w:spacing w:before="156" w:beforeLines="50" w:line="560" w:lineRule="exact"/>
        <w:jc w:val="center"/>
        <w:rPr>
          <w:rFonts w:hint="default" w:ascii="Times New Roman" w:hAnsi="Times New Roman" w:eastAsia="仿宋_GB2312" w:cs="Times New Roman"/>
          <w:b/>
          <w:bCs/>
          <w:color w:val="auto"/>
          <w:sz w:val="44"/>
          <w:szCs w:val="44"/>
        </w:rPr>
      </w:pPr>
      <w:r>
        <w:rPr>
          <w:rFonts w:hint="default" w:ascii="Times New Roman" w:hAnsi="Times New Roman" w:eastAsia="仿宋_GB2312" w:cs="Times New Roman"/>
          <w:b/>
          <w:bCs/>
          <w:color w:val="auto"/>
          <w:sz w:val="44"/>
          <w:szCs w:val="44"/>
        </w:rPr>
        <w:t>武汉市绿色建筑“十五五”发展规划</w:t>
      </w:r>
    </w:p>
    <w:bookmarkEnd w:id="0"/>
    <w:bookmarkEnd w:id="1"/>
    <w:p>
      <w:pPr>
        <w:spacing w:line="560" w:lineRule="exact"/>
        <w:rPr>
          <w:rFonts w:hint="default" w:ascii="Times New Roman" w:hAnsi="Times New Roman" w:eastAsia="方正小标宋简体" w:cs="Times New Roman"/>
          <w:color w:val="auto"/>
          <w:sz w:val="30"/>
          <w:szCs w:val="30"/>
        </w:rPr>
      </w:pPr>
    </w:p>
    <w:p>
      <w:pPr>
        <w:pStyle w:val="2"/>
        <w:rPr>
          <w:rFonts w:hint="default" w:ascii="Times New Roman" w:hAnsi="Times New Roman" w:cs="Times New Roman"/>
          <w:color w:val="auto"/>
        </w:rPr>
      </w:pPr>
    </w:p>
    <w:p>
      <w:pPr>
        <w:spacing w:line="560" w:lineRule="exact"/>
        <w:ind w:firstLine="643" w:firstLineChars="200"/>
        <w:outlineLvl w:val="0"/>
        <w:rPr>
          <w:rFonts w:hint="default" w:ascii="Times New Roman" w:hAnsi="Times New Roman" w:eastAsia="国标黑体" w:cs="Times New Roman"/>
          <w:b/>
          <w:bCs/>
          <w:color w:val="auto"/>
          <w:sz w:val="32"/>
          <w:szCs w:val="32"/>
        </w:rPr>
      </w:pPr>
      <w:r>
        <w:rPr>
          <w:rFonts w:hint="default" w:ascii="Times New Roman" w:hAnsi="Times New Roman" w:eastAsia="国标黑体" w:cs="Times New Roman"/>
          <w:b/>
          <w:bCs/>
          <w:color w:val="auto"/>
          <w:sz w:val="32"/>
          <w:szCs w:val="32"/>
        </w:rPr>
        <w:t>一、总则</w:t>
      </w:r>
    </w:p>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（一）编制发展规划的目的意义</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为落实国家“双碳”战略与经济社会发展全面绿色低碳转型要求，衔接湖北建设美丽中国先行区、贯彻实施</w:t>
      </w:r>
      <w:bookmarkStart w:id="2" w:name="OLE_LINK88"/>
      <w:bookmarkStart w:id="3" w:name="OLE_LINK89"/>
      <w:r>
        <w:rPr>
          <w:rFonts w:hint="default" w:ascii="Times New Roman" w:hAnsi="Times New Roman" w:eastAsia="仿宋_GB2312" w:cs="Times New Roman"/>
          <w:bCs/>
          <w:color w:val="auto"/>
          <w:sz w:val="32"/>
          <w:szCs w:val="32"/>
        </w:rPr>
        <w:t>《湖北省绿色建筑发展条例》</w:t>
      </w:r>
      <w:bookmarkEnd w:id="2"/>
      <w:bookmarkEnd w:id="3"/>
      <w:r>
        <w:rPr>
          <w:rFonts w:hint="default" w:ascii="Times New Roman" w:hAnsi="Times New Roman" w:eastAsia="仿宋_GB2312" w:cs="Times New Roman"/>
          <w:bCs/>
          <w:color w:val="auto"/>
          <w:sz w:val="32"/>
          <w:szCs w:val="32"/>
        </w:rPr>
        <w:t>，指导武汉市“十五五”绿色建筑高质量发展、城市更新提质增效、绿色建材普及应用和智能建造创新发展，强化武汉国家中心城市的绿色引领地位，为现代化人民城市建设筑牢生态根基，制定本规划。</w:t>
      </w:r>
    </w:p>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（二）主要编制依据</w:t>
      </w:r>
    </w:p>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1.法律法规</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《中华人民共和国建筑法》</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《中华人民共和国节约能源法》</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《中华人民共和国循环经济促进法》</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《中华人民共和国国家发展规划法》</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《湖北省绿色建筑发展条例》</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仿宋_GB2312" w:cs="Times New Roman"/>
          <w:bCs/>
          <w:color w:val="auto"/>
          <w:sz w:val="32"/>
          <w:szCs w:val="32"/>
        </w:rPr>
        <w:t>《武汉市绿色建筑管理办法</w:t>
      </w:r>
      <w:r>
        <w:rPr>
          <w:rFonts w:hint="default" w:ascii="Times New Roman" w:hAnsi="Times New Roman" w:cs="Times New Roman"/>
          <w:color w:val="auto"/>
        </w:rPr>
        <w:t>》</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《武汉市装配式建筑建设管理实施办法》</w:t>
      </w:r>
    </w:p>
    <w:p>
      <w:pPr>
        <w:pStyle w:val="2"/>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2.政策文件</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《国务院关于印发2030年前碳达峰行动方案的通知》（国发〔2021〕23号）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《国务院办公厅关于印发&lt;加快构建碳排放双控制度体系工作方案&gt;的通知》（国办发〔2024〕39号）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《中共中央办公厅 国务院办公厅关于推动城乡建设绿色发展的意见》（2021年10月21日）</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《国务院办公厅关于转发国家发展改革委、住房城乡建设部〈加快推动建筑领域节能降碳工作方案〉的通知》（国办函〔2024〕20号，2024年5月30日）</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《中共中央办公厅 国务院办公厅关于持续推进城市更新行动的意见》（2025年5月2日）</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《中共中央 国务院关于推动城市高质量发展的意见》（2025年8月15日）</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《住房和城乡建设部 国家发展改革委关于印发城乡建设领域碳达峰实施方案的通知》（建标〔2022〕53号）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《关于进一步扩大政府采购支持绿色建材促进建筑品质提升政策实施范围的通知》（财库〔2024〕36号）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《国家发展改革委等部门关于大力实施可再生能源替代行动的指导意见》（发改能源〔2024〕1537号）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《国家发展改革委等部门关于印发&lt;推动热泵行业高质量发展行动方案&gt;的通知》（发改环资〔2025〕313号）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《湖北省城乡建设领域碳达峰实施方案》（鄂建文〔2023〕28号）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《湖北省绿色建材产业高质量发展实施方案》（鄂建文〔2024〕17号）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《市人民政府办公厅关于加快推动生态资源优势转化为绿色发展优势的实施意见》（武政办〔2024〕56号）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《武汉市建筑领域碳达峰专项实施方案》（武自然资建发〔2025〕12号）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《武汉市国土空间“十五五”规划》</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《湖北省“十四五”建筑节能与绿色建筑发展实施意见》（鄂建墙〔2021〕4号）</w:t>
      </w:r>
    </w:p>
    <w:p>
      <w:pPr>
        <w:pStyle w:val="2"/>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《关于印发&lt;武汉市建筑节能与绿色建筑“十四五”发展规划&gt;&lt;武汉市装配式建筑“十四五”发展规划&gt;&lt;武汉市新型墙体材料及预拌混凝土“十四五”发展规划&gt;的通知》（武城建〔2022〕2号）</w:t>
      </w:r>
    </w:p>
    <w:p>
      <w:pPr>
        <w:pStyle w:val="2"/>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w:t>
      </w:r>
      <w:bookmarkStart w:id="4" w:name="OLE_LINK48"/>
      <w:bookmarkStart w:id="5" w:name="OLE_LINK49"/>
      <w:r>
        <w:rPr>
          <w:rFonts w:hint="default" w:ascii="Times New Roman" w:hAnsi="Times New Roman" w:eastAsia="仿宋_GB2312" w:cs="Times New Roman"/>
          <w:b/>
          <w:color w:val="auto"/>
          <w:sz w:val="32"/>
          <w:szCs w:val="32"/>
        </w:rPr>
        <w:t>技术标准</w:t>
      </w:r>
      <w:bookmarkEnd w:id="4"/>
      <w:bookmarkEnd w:id="5"/>
    </w:p>
    <w:p>
      <w:pPr>
        <w:spacing w:line="560" w:lineRule="exact"/>
        <w:ind w:firstLine="640" w:firstLineChars="200"/>
        <w:rPr>
          <w:rFonts w:hint="default" w:ascii="Times New Roman" w:hAnsi="Times New Roman" w:eastAsia="仿宋_GB2312" w:cs="Times New Roman"/>
          <w:bCs/>
          <w:color w:val="auto"/>
          <w:sz w:val="32"/>
          <w:szCs w:val="32"/>
        </w:rPr>
      </w:pPr>
      <w:bookmarkStart w:id="6" w:name="OLE_LINK86"/>
      <w:bookmarkStart w:id="7" w:name="OLE_LINK87"/>
      <w:bookmarkStart w:id="8" w:name="OLE_LINK142"/>
      <w:bookmarkStart w:id="9" w:name="OLE_LINK143"/>
      <w:r>
        <w:rPr>
          <w:rFonts w:hint="default" w:ascii="Times New Roman" w:hAnsi="Times New Roman" w:eastAsia="仿宋_GB2312" w:cs="Times New Roman"/>
          <w:bCs/>
          <w:color w:val="auto"/>
          <w:sz w:val="32"/>
          <w:szCs w:val="32"/>
        </w:rPr>
        <w:t>《绿色建筑评价标准》（GB/T 50378-2019） 2024版</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《装配式建筑评价标准》（GB/T 51129-2017）</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《建筑节能与可再生能源利用通用规范》（GB 55015-2021）</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《近零能耗建筑技术标准》（GB/T 51350-2019）</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《建筑碳排放计算标准》（GB/T 51366-2019）</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《绿色建筑设计与工程验收标准》(DB42/T 1319-2021)</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《低能耗居住建筑节能设计标准》（DB42/T 559-2022）</w:t>
      </w:r>
    </w:p>
    <w:bookmarkEnd w:id="6"/>
    <w:bookmarkEnd w:id="7"/>
    <w:bookmarkEnd w:id="8"/>
    <w:bookmarkEnd w:id="9"/>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（三）规划范围</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本规划适用于武汉市行政区域内绿色建筑发展。</w:t>
      </w:r>
    </w:p>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（四）规划期限</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规划期限为2026年-2030年。</w:t>
      </w:r>
    </w:p>
    <w:p>
      <w:pPr>
        <w:spacing w:line="560" w:lineRule="exact"/>
        <w:ind w:firstLine="640" w:firstLineChars="200"/>
        <w:outlineLvl w:val="0"/>
        <w:rPr>
          <w:rFonts w:hint="default" w:ascii="Times New Roman" w:hAnsi="Times New Roman" w:eastAsia="国标黑体" w:cs="Times New Roman"/>
          <w:bCs/>
          <w:color w:val="auto"/>
          <w:sz w:val="32"/>
          <w:szCs w:val="32"/>
        </w:rPr>
      </w:pPr>
      <w:r>
        <w:rPr>
          <w:rFonts w:hint="default" w:ascii="Times New Roman" w:hAnsi="Times New Roman" w:eastAsia="国标黑体" w:cs="Times New Roman"/>
          <w:bCs/>
          <w:color w:val="auto"/>
          <w:sz w:val="32"/>
          <w:szCs w:val="32"/>
        </w:rPr>
        <w:t>二、发展基础</w:t>
      </w:r>
    </w:p>
    <w:p>
      <w:pPr>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（一）发展背景</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武汉市绿色建筑“十五五”发展规划的编制，植根于国家战略导向、省级发展部署与城市自身发展需求的多重背景，是在时代要求与现实基础的双重驱动下形成的必然举措。</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从国家层面看，建筑领域作为节能降碳的关键战场，已进入规模化转型的攻坚阶段。《2030年前碳达峰行动方案》《加快推动建筑领域节能降碳工作方案》《加快构建碳排放双控制度体系工作方案》等政策密集出台，要求各地明确建筑领域碳减排路径，推动减污降碳扩绿协同增效。2024年12月11-12日，中央经济工作会议提出，加快经济社会发展全面绿色转型，培育绿色建筑等新增长点。在此背景下，作为中部地区核心城市，武汉亟需通过绿色建筑发展专项规划将国家战略具象化为落地举措，为建筑行业的绿色低碳发展和转型升级提供可复制的中部实践样本。</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省市维度，湖北建设美丽中国先行区的目标对建筑行业绿色低碳转型提出了更高要求，而武汉作为省会城市和中部地区中心城市，承担着龙头带动与试点突破的双重责任。当前湖北正推进城镇新建建筑全面执行绿色建筑标准，推动超低能耗建筑规模化发展，</w:t>
      </w:r>
      <w:bookmarkStart w:id="10" w:name="OLE_LINK85"/>
      <w:bookmarkStart w:id="11" w:name="OLE_LINK84"/>
      <w:r>
        <w:rPr>
          <w:rFonts w:hint="default" w:ascii="Times New Roman" w:hAnsi="Times New Roman" w:eastAsia="仿宋" w:cs="Times New Roman"/>
          <w:color w:val="auto"/>
          <w:sz w:val="32"/>
          <w:szCs w:val="32"/>
        </w:rPr>
        <w:t>长江新区、中法武汉生态示范城等重点片区</w:t>
      </w:r>
      <w:bookmarkEnd w:id="10"/>
      <w:bookmarkEnd w:id="11"/>
      <w:r>
        <w:rPr>
          <w:rFonts w:hint="default" w:ascii="Times New Roman" w:hAnsi="Times New Roman" w:eastAsia="仿宋" w:cs="Times New Roman"/>
          <w:color w:val="auto"/>
          <w:sz w:val="32"/>
          <w:szCs w:val="32"/>
        </w:rPr>
        <w:t>作为绿色发展先行示范城、低碳示范城，亟需通过规划统筹技术创新与政策配套，助力湖北实现建筑领域碳排放降低超全省平均水平的目标。而聚焦武汉市自身发展现状，规划编制更是破解发展瓶颈、巩固领先优势的现实需要。</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这些机遇与挑战交织，使得编制绿色建筑“十五五”发展规划成为统筹资源、破解瓶颈、释放优势的关键抓手，既要巩固智能建造等既有优势，也要补齐运维管理、产业协同等短板，最终实现从“规模增长”向“质效双升”的跨越。</w:t>
      </w:r>
    </w:p>
    <w:p>
      <w:pPr>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w:t>
      </w:r>
      <w:bookmarkStart w:id="12" w:name="OLE_LINK17"/>
      <w:bookmarkStart w:id="13" w:name="OLE_LINK16"/>
      <w:r>
        <w:rPr>
          <w:rFonts w:hint="default" w:ascii="Times New Roman" w:hAnsi="Times New Roman" w:eastAsia="仿宋_GB2312" w:cs="Times New Roman"/>
          <w:b/>
          <w:color w:val="auto"/>
          <w:sz w:val="32"/>
          <w:szCs w:val="32"/>
        </w:rPr>
        <w:t>“十四五”</w:t>
      </w:r>
      <w:bookmarkEnd w:id="12"/>
      <w:bookmarkEnd w:id="13"/>
      <w:r>
        <w:rPr>
          <w:rFonts w:hint="default" w:ascii="Times New Roman" w:hAnsi="Times New Roman" w:eastAsia="仿宋_GB2312" w:cs="Times New Roman"/>
          <w:b/>
          <w:color w:val="auto"/>
          <w:sz w:val="32"/>
          <w:szCs w:val="32"/>
        </w:rPr>
        <w:t>工作成效</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四五”期间，武汉市积极落实“2030碳达峰、2060碳中和”的国家战略，按照《湖北省“十四五”建筑节能与绿色建筑发展实施意见》、《湖北省绿色建筑创建行动实施方案》、《武汉市建筑节能与绿色建筑“十四五”发展规划》总体部署和要求，大力推进建筑节能，全面拓展高品质绿色建筑，跨越式提升可再生能源建筑应用与既有建筑节能改造水平，为武汉市加快实现建筑领域碳达峰奠定基础。在“十四五”期间（截至2025年6月），全市累计新增建筑节能能力214.45万吨标准煤；累计新增节能建筑面积11539.76万平方米；新建建筑中绿色建筑比例100%；累计新增可再生能源建筑应用面积5419.20万平方米；累计新开工装配式建筑7842.06万平方米，绿色建材应用比例50%，基本可按期完成“十四五”规划确立的目标任务。</w:t>
      </w:r>
    </w:p>
    <w:p>
      <w:pPr>
        <w:jc w:val="center"/>
        <w:rPr>
          <w:rFonts w:hint="default" w:ascii="Times New Roman" w:hAnsi="Times New Roman" w:eastAsia="仿宋" w:cs="Times New Roman"/>
          <w:b/>
          <w:bCs/>
          <w:color w:val="auto"/>
          <w:sz w:val="30"/>
          <w:szCs w:val="30"/>
        </w:rPr>
      </w:pPr>
      <w:r>
        <w:rPr>
          <w:rFonts w:hint="default" w:ascii="Times New Roman" w:hAnsi="Times New Roman" w:eastAsia="仿宋" w:cs="Times New Roman"/>
          <w:b/>
          <w:bCs/>
          <w:color w:val="auto"/>
          <w:sz w:val="30"/>
          <w:szCs w:val="30"/>
        </w:rPr>
        <w:t>表2.1 “十四五”绿色建筑相关指标完成情况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43"/>
        <w:gridCol w:w="1025"/>
        <w:gridCol w:w="1056"/>
        <w:gridCol w:w="1151"/>
        <w:gridCol w:w="1117"/>
        <w:gridCol w:w="1001"/>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restart"/>
            <w:vAlign w:val="center"/>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序号</w:t>
            </w:r>
          </w:p>
        </w:tc>
        <w:tc>
          <w:tcPr>
            <w:tcW w:w="846" w:type="pct"/>
            <w:vMerge w:val="restart"/>
            <w:vAlign w:val="center"/>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任务</w:t>
            </w:r>
          </w:p>
        </w:tc>
        <w:tc>
          <w:tcPr>
            <w:tcW w:w="601" w:type="pct"/>
            <w:vMerge w:val="restart"/>
            <w:vAlign w:val="center"/>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单位</w:t>
            </w:r>
          </w:p>
        </w:tc>
        <w:tc>
          <w:tcPr>
            <w:tcW w:w="619" w:type="pct"/>
            <w:vMerge w:val="restart"/>
            <w:vAlign w:val="center"/>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完成情况（累计）</w:t>
            </w:r>
          </w:p>
        </w:tc>
        <w:tc>
          <w:tcPr>
            <w:tcW w:w="1330" w:type="pct"/>
            <w:gridSpan w:val="2"/>
          </w:tcPr>
          <w:p>
            <w:pPr>
              <w:jc w:val="center"/>
              <w:rPr>
                <w:rFonts w:hint="default" w:ascii="Times New Roman" w:hAnsi="Times New Roman" w:eastAsia="仿宋" w:cs="Times New Roman"/>
                <w:b/>
                <w:bCs/>
                <w:color w:val="auto"/>
                <w:sz w:val="24"/>
                <w:szCs w:val="24"/>
              </w:rPr>
            </w:pPr>
            <w:r>
              <w:rPr>
                <w:rFonts w:hint="eastAsia" w:ascii="Times New Roman" w:hAnsi="Times New Roman" w:eastAsia="仿宋" w:cs="Times New Roman"/>
                <w:b/>
                <w:bCs/>
                <w:color w:val="auto"/>
                <w:sz w:val="24"/>
                <w:szCs w:val="24"/>
                <w:lang w:eastAsia="zh-CN"/>
              </w:rPr>
              <w:t>“</w:t>
            </w:r>
            <w:r>
              <w:rPr>
                <w:rFonts w:hint="default" w:ascii="Times New Roman" w:hAnsi="Times New Roman" w:eastAsia="仿宋" w:cs="Times New Roman"/>
                <w:b/>
                <w:bCs/>
                <w:color w:val="auto"/>
                <w:sz w:val="24"/>
                <w:szCs w:val="24"/>
              </w:rPr>
              <w:t>十四五</w:t>
            </w:r>
            <w:r>
              <w:rPr>
                <w:rFonts w:hint="eastAsia" w:ascii="Times New Roman" w:hAnsi="Times New Roman" w:eastAsia="仿宋" w:cs="Times New Roman"/>
                <w:b/>
                <w:bCs/>
                <w:color w:val="auto"/>
                <w:sz w:val="24"/>
                <w:szCs w:val="24"/>
                <w:lang w:eastAsia="zh-CN"/>
              </w:rPr>
              <w:t>”</w:t>
            </w:r>
            <w:r>
              <w:rPr>
                <w:rFonts w:hint="default" w:ascii="Times New Roman" w:hAnsi="Times New Roman" w:eastAsia="仿宋" w:cs="Times New Roman"/>
                <w:b/>
                <w:bCs/>
                <w:color w:val="auto"/>
                <w:sz w:val="24"/>
                <w:szCs w:val="24"/>
              </w:rPr>
              <w:t>规划指标</w:t>
            </w:r>
          </w:p>
        </w:tc>
        <w:tc>
          <w:tcPr>
            <w:tcW w:w="1220" w:type="pct"/>
            <w:gridSpan w:val="2"/>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完成幅度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tcPr>
          <w:p>
            <w:pPr>
              <w:jc w:val="center"/>
              <w:rPr>
                <w:rFonts w:hint="default" w:ascii="Times New Roman" w:hAnsi="Times New Roman" w:eastAsia="仿宋" w:cs="Times New Roman"/>
                <w:b/>
                <w:bCs/>
                <w:color w:val="auto"/>
                <w:sz w:val="24"/>
                <w:szCs w:val="24"/>
              </w:rPr>
            </w:pPr>
          </w:p>
        </w:tc>
        <w:tc>
          <w:tcPr>
            <w:tcW w:w="846" w:type="pct"/>
            <w:vMerge w:val="continue"/>
          </w:tcPr>
          <w:p>
            <w:pPr>
              <w:jc w:val="center"/>
              <w:rPr>
                <w:rFonts w:hint="default" w:ascii="Times New Roman" w:hAnsi="Times New Roman" w:eastAsia="仿宋" w:cs="Times New Roman"/>
                <w:b/>
                <w:bCs/>
                <w:color w:val="auto"/>
                <w:sz w:val="24"/>
                <w:szCs w:val="24"/>
              </w:rPr>
            </w:pPr>
          </w:p>
        </w:tc>
        <w:tc>
          <w:tcPr>
            <w:tcW w:w="601" w:type="pct"/>
            <w:vMerge w:val="continue"/>
          </w:tcPr>
          <w:p>
            <w:pPr>
              <w:jc w:val="center"/>
              <w:rPr>
                <w:rFonts w:hint="default" w:ascii="Times New Roman" w:hAnsi="Times New Roman" w:eastAsia="仿宋" w:cs="Times New Roman"/>
                <w:b/>
                <w:bCs/>
                <w:color w:val="auto"/>
                <w:sz w:val="24"/>
                <w:szCs w:val="24"/>
              </w:rPr>
            </w:pPr>
          </w:p>
        </w:tc>
        <w:tc>
          <w:tcPr>
            <w:tcW w:w="619" w:type="pct"/>
            <w:vMerge w:val="continue"/>
          </w:tcPr>
          <w:p>
            <w:pPr>
              <w:jc w:val="center"/>
              <w:rPr>
                <w:rFonts w:hint="default" w:ascii="Times New Roman" w:hAnsi="Times New Roman" w:eastAsia="仿宋" w:cs="Times New Roman"/>
                <w:b/>
                <w:bCs/>
                <w:color w:val="auto"/>
                <w:sz w:val="24"/>
                <w:szCs w:val="24"/>
              </w:rPr>
            </w:pPr>
          </w:p>
        </w:tc>
        <w:tc>
          <w:tcPr>
            <w:tcW w:w="675" w:type="pct"/>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省下达目标值</w:t>
            </w:r>
          </w:p>
        </w:tc>
        <w:tc>
          <w:tcPr>
            <w:tcW w:w="655" w:type="pct"/>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市规划值</w:t>
            </w:r>
          </w:p>
        </w:tc>
        <w:tc>
          <w:tcPr>
            <w:tcW w:w="587" w:type="pct"/>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省下达目标值</w:t>
            </w:r>
          </w:p>
        </w:tc>
        <w:tc>
          <w:tcPr>
            <w:tcW w:w="633" w:type="pct"/>
          </w:tcPr>
          <w:p>
            <w:pPr>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市规划值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846"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新增建筑节能能力</w:t>
            </w:r>
          </w:p>
        </w:tc>
        <w:tc>
          <w:tcPr>
            <w:tcW w:w="601"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万吨标准煤</w:t>
            </w:r>
          </w:p>
        </w:tc>
        <w:tc>
          <w:tcPr>
            <w:tcW w:w="619"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214.45</w:t>
            </w:r>
          </w:p>
        </w:tc>
        <w:tc>
          <w:tcPr>
            <w:tcW w:w="675"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187.43</w:t>
            </w:r>
          </w:p>
        </w:tc>
        <w:tc>
          <w:tcPr>
            <w:tcW w:w="655"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200</w:t>
            </w:r>
          </w:p>
        </w:tc>
        <w:tc>
          <w:tcPr>
            <w:tcW w:w="587"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114.42%</w:t>
            </w:r>
          </w:p>
        </w:tc>
        <w:tc>
          <w:tcPr>
            <w:tcW w:w="633"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846"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新增节能建筑面积</w:t>
            </w:r>
          </w:p>
        </w:tc>
        <w:tc>
          <w:tcPr>
            <w:tcW w:w="601"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万平方米</w:t>
            </w:r>
          </w:p>
        </w:tc>
        <w:tc>
          <w:tcPr>
            <w:tcW w:w="619"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11539.76</w:t>
            </w:r>
          </w:p>
        </w:tc>
        <w:tc>
          <w:tcPr>
            <w:tcW w:w="675"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9156.5</w:t>
            </w:r>
          </w:p>
        </w:tc>
        <w:tc>
          <w:tcPr>
            <w:tcW w:w="655"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12000</w:t>
            </w:r>
          </w:p>
        </w:tc>
        <w:tc>
          <w:tcPr>
            <w:tcW w:w="587"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126.03%</w:t>
            </w:r>
          </w:p>
        </w:tc>
        <w:tc>
          <w:tcPr>
            <w:tcW w:w="633"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p>
        </w:tc>
        <w:tc>
          <w:tcPr>
            <w:tcW w:w="846"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可再生能源建筑应用</w:t>
            </w:r>
          </w:p>
        </w:tc>
        <w:tc>
          <w:tcPr>
            <w:tcW w:w="601"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万平方米</w:t>
            </w:r>
          </w:p>
        </w:tc>
        <w:tc>
          <w:tcPr>
            <w:tcW w:w="619"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5419.20</w:t>
            </w:r>
          </w:p>
        </w:tc>
        <w:tc>
          <w:tcPr>
            <w:tcW w:w="675"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6625</w:t>
            </w:r>
          </w:p>
        </w:tc>
        <w:tc>
          <w:tcPr>
            <w:tcW w:w="655"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6625</w:t>
            </w:r>
          </w:p>
        </w:tc>
        <w:tc>
          <w:tcPr>
            <w:tcW w:w="587"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81.80%</w:t>
            </w:r>
          </w:p>
        </w:tc>
        <w:tc>
          <w:tcPr>
            <w:tcW w:w="633"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w:t>
            </w:r>
          </w:p>
        </w:tc>
        <w:tc>
          <w:tcPr>
            <w:tcW w:w="846"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新开工装配式建筑面积</w:t>
            </w:r>
          </w:p>
        </w:tc>
        <w:tc>
          <w:tcPr>
            <w:tcW w:w="601"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万平方米</w:t>
            </w:r>
          </w:p>
        </w:tc>
        <w:tc>
          <w:tcPr>
            <w:tcW w:w="619"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7842.06</w:t>
            </w:r>
          </w:p>
        </w:tc>
        <w:tc>
          <w:tcPr>
            <w:tcW w:w="675"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655"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8300</w:t>
            </w:r>
          </w:p>
        </w:tc>
        <w:tc>
          <w:tcPr>
            <w:tcW w:w="587"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633" w:type="pct"/>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94.48%</w:t>
            </w:r>
          </w:p>
        </w:tc>
      </w:tr>
    </w:tbl>
    <w:p>
      <w:pPr>
        <w:adjustRightInd w:val="0"/>
        <w:snapToGri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1.政策技术体系日趋完善</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政策法规。先后印发了《武汉市绿色建筑管理办法》（市人民政府令第310号令）、《武汉市绿色建筑创建行动实施计划》（武城建〔2021〕3号）、《武汉市贯彻落实&lt;湖北省绿色建筑发展条例&gt;实施方案》、《关于推动新型建筑工业化与智能建造协同发展的通知》（武城建规〔2022〕2号），不断提升绿色建筑实施力度和质量。</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（2）标准体系。针对建筑能效提升、装配式建筑设计施工管理、预拌混凝土绿色生产等问题，结合湖北武汉地区发展重点，编制和实施了16项标准规范，不断完善武汉市建筑节能与绿色建筑标准化进程。</w:t>
      </w:r>
    </w:p>
    <w:p>
      <w:pPr>
        <w:jc w:val="center"/>
        <w:rPr>
          <w:rFonts w:hint="default" w:ascii="Times New Roman" w:hAnsi="Times New Roman" w:eastAsia="仿宋" w:cs="Times New Roman"/>
          <w:b/>
          <w:bCs/>
          <w:color w:val="auto"/>
          <w:sz w:val="30"/>
          <w:szCs w:val="30"/>
        </w:rPr>
      </w:pPr>
      <w:r>
        <w:rPr>
          <w:rFonts w:hint="default" w:ascii="Times New Roman" w:hAnsi="Times New Roman" w:eastAsia="仿宋" w:cs="Times New Roman"/>
          <w:b/>
          <w:bCs/>
          <w:color w:val="auto"/>
          <w:sz w:val="30"/>
          <w:szCs w:val="30"/>
        </w:rPr>
        <w:t>表2.2 标准规范编制</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7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tcPr>
          <w:p>
            <w:pPr>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序号</w:t>
            </w:r>
          </w:p>
        </w:tc>
        <w:tc>
          <w:tcPr>
            <w:tcW w:w="4558" w:type="pct"/>
          </w:tcPr>
          <w:p>
            <w:pPr>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4558"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《装配整体式叠合剪力墙结构施工及质量验收规程》（DB42/T 1729-2021）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4558"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湖北省海绵城市设施运行维护规程（DB42/T 2134-2023）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p>
        </w:tc>
        <w:tc>
          <w:tcPr>
            <w:tcW w:w="4558"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《装配式钢结构建筑工程施工图设计文件技术审查要点》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w:t>
            </w:r>
          </w:p>
        </w:tc>
        <w:tc>
          <w:tcPr>
            <w:tcW w:w="4558"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《武汉市预拌混凝土绿色生产管理技术导则》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w:t>
            </w:r>
          </w:p>
        </w:tc>
        <w:tc>
          <w:tcPr>
            <w:tcW w:w="4558"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《武汉市预拌混凝土企业质量管理体系文件》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w:t>
            </w:r>
          </w:p>
        </w:tc>
        <w:tc>
          <w:tcPr>
            <w:tcW w:w="4558"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《武汉市装配式建筑EPC工程总承包管理规范》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w:t>
            </w:r>
          </w:p>
        </w:tc>
        <w:tc>
          <w:tcPr>
            <w:tcW w:w="4558"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《武汉市预拌混凝土搅拌站绿色建设（标准化）示范图集》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w:t>
            </w:r>
          </w:p>
        </w:tc>
        <w:tc>
          <w:tcPr>
            <w:tcW w:w="4558"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_GB2312" w:cs="Times New Roman"/>
                <w:bCs/>
                <w:color w:val="auto"/>
                <w:sz w:val="24"/>
                <w:szCs w:val="24"/>
              </w:rPr>
              <w:t>《武汉市预拌混凝土新建及改造站点绿色生产标准化示范图集》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9</w:t>
            </w:r>
          </w:p>
        </w:tc>
        <w:tc>
          <w:tcPr>
            <w:tcW w:w="4558"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_GB2312" w:cs="Times New Roman"/>
                <w:bCs/>
                <w:color w:val="auto"/>
                <w:sz w:val="24"/>
                <w:szCs w:val="24"/>
              </w:rPr>
              <w:t>《武汉市超低能耗建筑技术导则》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w:t>
            </w:r>
          </w:p>
        </w:tc>
        <w:tc>
          <w:tcPr>
            <w:tcW w:w="4558" w:type="pct"/>
          </w:tcPr>
          <w:p>
            <w:pPr>
              <w:snapToGrid w:val="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《武汉市低能耗居住建筑节能设计标准》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11</w:t>
            </w:r>
          </w:p>
        </w:tc>
        <w:tc>
          <w:tcPr>
            <w:tcW w:w="4558"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_GB2312" w:cs="Times New Roman"/>
                <w:bCs/>
                <w:color w:val="auto"/>
                <w:sz w:val="24"/>
                <w:szCs w:val="24"/>
              </w:rPr>
              <w:t>《武汉市装配式建筑装配率计算细则（修订稿）》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12</w:t>
            </w:r>
          </w:p>
        </w:tc>
        <w:tc>
          <w:tcPr>
            <w:tcW w:w="4558" w:type="pct"/>
          </w:tcPr>
          <w:p>
            <w:pPr>
              <w:snapToGrid w:val="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《预制构件生产企业星级评价标准》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w:t>
            </w:r>
          </w:p>
        </w:tc>
        <w:tc>
          <w:tcPr>
            <w:tcW w:w="4558" w:type="pct"/>
          </w:tcPr>
          <w:p>
            <w:pPr>
              <w:snapToGrid w:val="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color w:val="auto"/>
                <w:sz w:val="24"/>
                <w:szCs w:val="24"/>
              </w:rPr>
              <w:t>《城市综合管廊预制拼装工程标准图集》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14</w:t>
            </w:r>
          </w:p>
        </w:tc>
        <w:tc>
          <w:tcPr>
            <w:tcW w:w="4558" w:type="pct"/>
          </w:tcPr>
          <w:p>
            <w:pPr>
              <w:snapToGrid w:val="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color w:val="auto"/>
                <w:sz w:val="24"/>
                <w:szCs w:val="24"/>
              </w:rPr>
              <w:t>《武汉市民用建筑模型(BIM)应用标准》（DB4201/T 648-2021）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15</w:t>
            </w:r>
          </w:p>
        </w:tc>
        <w:tc>
          <w:tcPr>
            <w:tcW w:w="4558"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《武汉市城市公共避难场所功能复合利用技术标准》（DB4201/T 658-2022）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16</w:t>
            </w:r>
          </w:p>
        </w:tc>
        <w:tc>
          <w:tcPr>
            <w:tcW w:w="4558"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Cs/>
                <w:color w:val="auto"/>
                <w:sz w:val="24"/>
                <w:szCs w:val="24"/>
              </w:rPr>
              <w:t>《武汉市老旧小区改造技术导则》（DB4201/T 679-2023）</w:t>
            </w:r>
          </w:p>
        </w:tc>
      </w:tr>
    </w:tbl>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（3）科技创新。先后组织开展了18项绿色建筑、装配式建筑、建筑碳达峰等课题、规划研究及成果转化，同时对建筑碳排放、好房子、绿色建筑造价、城市信息模型（CIM）建设等新兴领域，提前开展研究工作。</w:t>
      </w:r>
    </w:p>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仿宋" w:cs="Times New Roman"/>
          <w:b/>
          <w:bCs/>
          <w:color w:val="auto"/>
          <w:sz w:val="30"/>
          <w:szCs w:val="30"/>
        </w:rPr>
      </w:pPr>
      <w:r>
        <w:rPr>
          <w:rFonts w:hint="default" w:ascii="Times New Roman" w:hAnsi="Times New Roman" w:eastAsia="仿宋" w:cs="Times New Roman"/>
          <w:b/>
          <w:bCs/>
          <w:color w:val="auto"/>
          <w:sz w:val="30"/>
          <w:szCs w:val="30"/>
        </w:rPr>
        <w:t>表2.3 科技创新课题及规划编制</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694"/>
        <w:gridCol w:w="6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center"/>
          </w:tcPr>
          <w:p>
            <w:pPr>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类别</w:t>
            </w:r>
          </w:p>
        </w:tc>
        <w:tc>
          <w:tcPr>
            <w:tcW w:w="407" w:type="pct"/>
            <w:vAlign w:val="center"/>
          </w:tcPr>
          <w:p>
            <w:pPr>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序号</w:t>
            </w:r>
          </w:p>
        </w:tc>
        <w:tc>
          <w:tcPr>
            <w:tcW w:w="4040" w:type="pct"/>
            <w:vAlign w:val="center"/>
          </w:tcPr>
          <w:p>
            <w:pPr>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课题/标准名称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restar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建筑节能与绿色建筑</w:t>
            </w: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4040" w:type="pct"/>
            <w:vAlign w:val="center"/>
          </w:tcPr>
          <w:p>
            <w:pPr>
              <w:snapToGrid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《〈外墙外保温装饰一体板系统构造图集〉编制研究》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4040" w:type="pct"/>
            <w:vAlign w:val="center"/>
          </w:tcPr>
          <w:p>
            <w:pPr>
              <w:snapToGrid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《武汉乡村绿色农房建设技术研究》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restar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装配式建筑</w:t>
            </w: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p>
        </w:tc>
        <w:tc>
          <w:tcPr>
            <w:tcW w:w="4040" w:type="pct"/>
            <w:vAlign w:val="center"/>
          </w:tcPr>
          <w:p>
            <w:pPr>
              <w:snapToGrid w:val="0"/>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《装配式剪力墙结构体系工业化设计技术研究与应用》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w:t>
            </w:r>
          </w:p>
        </w:tc>
        <w:tc>
          <w:tcPr>
            <w:tcW w:w="4040" w:type="pct"/>
            <w:vAlign w:val="center"/>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《〈装配式建筑预制构件质量追溯技术指南〉编制研究》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w:t>
            </w:r>
          </w:p>
        </w:tc>
        <w:tc>
          <w:tcPr>
            <w:tcW w:w="4040" w:type="pct"/>
            <w:vAlign w:val="center"/>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《取消叠合面拉毛对叠合板受力性能影响研究》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w:t>
            </w:r>
          </w:p>
        </w:tc>
        <w:tc>
          <w:tcPr>
            <w:tcW w:w="4040" w:type="pct"/>
            <w:vAlign w:val="center"/>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《U型件连接管桁架承载力研究与应用》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w:t>
            </w:r>
          </w:p>
        </w:tc>
        <w:tc>
          <w:tcPr>
            <w:tcW w:w="4040" w:type="pct"/>
            <w:vAlign w:val="center"/>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《装配式混凝土结构检测技术标准研究》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w:t>
            </w:r>
          </w:p>
        </w:tc>
        <w:tc>
          <w:tcPr>
            <w:tcW w:w="4040" w:type="pct"/>
            <w:vAlign w:val="center"/>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《装配式建筑结构关键设计计算方法研究》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restar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专项规划</w:t>
            </w: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9</w:t>
            </w:r>
          </w:p>
        </w:tc>
        <w:tc>
          <w:tcPr>
            <w:tcW w:w="4040" w:type="pct"/>
          </w:tcPr>
          <w:p>
            <w:pPr>
              <w:snapToGrid w:val="0"/>
              <w:rPr>
                <w:rFonts w:hint="default" w:ascii="Times New Roman" w:hAnsi="Times New Roman" w:eastAsia="仿宋" w:cs="Times New Roman"/>
                <w:color w:val="auto"/>
                <w:sz w:val="24"/>
                <w:szCs w:val="24"/>
              </w:rPr>
            </w:pPr>
            <w:r>
              <w:rPr>
                <w:rFonts w:hint="default" w:ascii="Times New Roman" w:hAnsi="Times New Roman" w:eastAsia="仿宋_GB2312" w:cs="Times New Roman"/>
                <w:color w:val="auto"/>
                <w:sz w:val="24"/>
                <w:szCs w:val="24"/>
              </w:rPr>
              <w:t>《武汉市装配式建筑“十四五”规划研究与编制》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《武汉市建筑节能与绿色建筑“十四五”规划研究与编制》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11</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《武汉市新型墙体材料及预拌混凝土“十四五”规划研究与编制》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12</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《武汉城市降温“透气”专项行动实施方案》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《无废城市工作方案》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14</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《深化长江大保护金融创新实践专项行动实施方案》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restar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碳达峰</w:t>
            </w: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15</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《建筑领域碳排放达峰目标及路径研究》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16</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《碳达峰与碳中和背景下夏热冬冷地区超低能耗建筑关键技术体系研究》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17</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《武汉市建筑太阳能光伏利用潜力评估及设计指南》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Merge w:val="continue"/>
            <w:vAlign w:val="center"/>
          </w:tcPr>
          <w:p>
            <w:pPr>
              <w:snapToGrid w:val="0"/>
              <w:jc w:val="center"/>
              <w:rPr>
                <w:rFonts w:hint="default" w:ascii="Times New Roman" w:hAnsi="Times New Roman" w:eastAsia="仿宋" w:cs="Times New Roman"/>
                <w:color w:val="auto"/>
                <w:sz w:val="24"/>
                <w:szCs w:val="24"/>
              </w:rPr>
            </w:pPr>
          </w:p>
        </w:tc>
        <w:tc>
          <w:tcPr>
            <w:tcW w:w="407" w:type="pct"/>
            <w:vAlign w:val="center"/>
          </w:tcPr>
          <w:p>
            <w:pPr>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18</w:t>
            </w:r>
          </w:p>
        </w:tc>
        <w:tc>
          <w:tcPr>
            <w:tcW w:w="4040" w:type="pct"/>
          </w:tcPr>
          <w:p>
            <w:pPr>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《基于可再生能源应用的夏热冬冷地区零碳建筑关键技术研究》</w:t>
            </w:r>
          </w:p>
        </w:tc>
      </w:tr>
    </w:tbl>
    <w:p>
      <w:pPr>
        <w:adjustRightInd w:val="0"/>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b/>
          <w:bCs/>
          <w:color w:val="auto"/>
          <w:sz w:val="32"/>
          <w:szCs w:val="32"/>
        </w:rPr>
        <w:t>（4）管理体系。</w:t>
      </w:r>
      <w:r>
        <w:rPr>
          <w:rFonts w:hint="default" w:ascii="Times New Roman" w:hAnsi="Times New Roman" w:eastAsia="仿宋" w:cs="Times New Roman"/>
          <w:color w:val="auto"/>
          <w:sz w:val="32"/>
          <w:szCs w:val="32"/>
        </w:rPr>
        <w:t>先后印发了《市城建局关于在民用建筑工程规模化应用绿色建材的通知》、《关于推广使用建筑固体废弃物再生建材产品的通知》（武城建〔2020〕39号）、《关于印发&lt;武汉市绿色建筑标识认定管理实施细则（试行）&gt;的通知》(武城建规〔2023〕1号)、《市城建局关于实施绿色建筑和装配式建筑设计与工程验收的通知》，对绿色建筑、装配式建筑、绿色建材、再生建材的推广实施和高质量发展提出要求，完善了管理制度。</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2.建筑碳排达峰扎实推进</w:t>
      </w:r>
    </w:p>
    <w:p>
      <w:pPr>
        <w:adjustRightIn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十四五”期间，武汉市相继发布了《武汉市碳达峰实施方案》（武政〔2024〕7号）、《武汉市建筑领域碳达峰专项实施方案》（武自然资建发〔2025〕12号），对武汉市建筑领域碳达峰提出了明确的任务要求和责任分工。同时，武汉市积极推进方案要求，组织编制75%节能率标准《武汉市低能耗居住建筑节能设计标准》，为武汉市建筑领域碳达峰的实现，迈出坚实的一大步。</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3.建筑能效水平稳步提高</w:t>
      </w:r>
    </w:p>
    <w:p>
      <w:pPr>
        <w:adjustRightIn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四五”期间（截至2025年6月），武汉市新增节能建筑面积11539.76万平方米。设计和峻工验收阶段执行建筑节能设计标准比例均达到100%。新增建筑节能能力214.45万吨标准煤，相比省住建厅下达的节能目标要求，完成下达指标的126.03%。与“十四五”相比，已完成96.16%。</w:t>
      </w:r>
    </w:p>
    <w:p>
      <w:pPr>
        <w:adjustRightIn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在建筑能效提升方面，武汉市组织开展了《武汉市低能耗居住建筑节能设计标准》、《武汉市超低能耗建筑技术导则》课题研究，以期进一步推动武汉市建筑能效提升，加快实现超低能耗建筑扩面发展。目前，全市共有36个超低能耗建筑示试点项目。</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4.绿色建筑发展量质齐升</w:t>
      </w:r>
    </w:p>
    <w:p>
      <w:pPr>
        <w:adjustRightIn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通过《武汉市绿色建筑管理办法》（市人民政府令第310号令）、《武汉市绿色建筑创建行动实施计划》（武城建〔2021〕3号）的实施，武汉市顺利实现新建建筑100%绿色建筑。“十四五”期末（截至2025年6月），星级绿色建筑占当年新增绿色建筑面积的比例达到62.88%，完成武汉市既定目标，实现了绿色建筑的常态化、普遍化，为绿色建筑提质发展奠定了基础。</w:t>
      </w:r>
    </w:p>
    <w:p>
      <w:pPr>
        <w:adjustRightIn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按照《湖北省绿色建筑标识认定管理实施细则（试行）》（鄂建设规〔2022〕3号）要求，武汉市率先开展绿色建筑标识认定评价，组建了武汉市建筑节能与绿色建筑、建筑工业化、预拌混凝土专家库，公示公告绿色建筑标识认定项目8项、预评价项目60项，共计1925.22万平方米。</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5.建筑能源结构逐步优化</w:t>
      </w:r>
    </w:p>
    <w:p>
      <w:pPr>
        <w:adjustRightIn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四五”期间，武汉市将空气能纳入到可再生能源范畴，持续推进太阳能、地热能规模化应用，要求新建建筑可再生能源应用量不低于建筑项目总运行能耗的10％。“十四五”期末（截至2025年6月），累计新增可再生能源建筑应用面积5419.20万平方米，其中太阳能光伏发电装机容量98.73MW，可再生能源应用规模居于同类城市前列。</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6.新型建造方式持续推广</w:t>
      </w:r>
    </w:p>
    <w:p>
      <w:pPr>
        <w:adjustRightIn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四五”期间，武汉市围绕建筑产业工业化、绿色化、数字化、智能化发展，扎实推广智能低碳建造方式，成功申报智能建造试点城市并获评优秀。“十四五”期末（截至2025年6月），累计新建装配式建筑面积7842.06万平方米，评选市级示范项目103个（其中AAA级4个、AA级6个、A级8个），培育智能建造试点项目130个、试点企业55个、试点工厂（园区）18个，装配式建筑培训机构13家，实操基地6个。“汉芯公馆”项目为湖北省首个混凝土结构AAA级装配式智能建造建筑。</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7.绿色建材规模不断扩大</w:t>
      </w:r>
    </w:p>
    <w:p>
      <w:pPr>
        <w:adjustRightIn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四五”期间，武汉市预拌混凝土、预拌砂浆、新型墙体材料应用率均达到100%，新建建筑绿色建材应用比例达50%，并持续发布《建筑节能及绿色建材产品信息清单》，实现全市装配式构件、门窗星级绿色建材“零突破”，极大地推广了绿色环保、质量优良的节能绿色产品。</w:t>
      </w:r>
    </w:p>
    <w:p>
      <w:pPr>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（三）“十四五”发展存在的问题</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bookmarkStart w:id="14" w:name="OLE_LINK19"/>
      <w:bookmarkStart w:id="15" w:name="OLE_LINK18"/>
      <w:r>
        <w:rPr>
          <w:rFonts w:hint="default" w:ascii="Times New Roman" w:hAnsi="Times New Roman" w:eastAsia="仿宋_GB2312" w:cs="Times New Roman"/>
          <w:b/>
          <w:color w:val="auto"/>
          <w:sz w:val="32"/>
          <w:szCs w:val="32"/>
        </w:rPr>
        <w:t>1.制度执行有待强化</w:t>
      </w:r>
    </w:p>
    <w:p>
      <w:pPr>
        <w:adjustRightIn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绿色建筑工作需资建、住更、生态环境等多部门协同参与，当前跨部门项目推进效率偏低。一方面，部分部门的职责边界划分不够清晰，易出现规划用地条件绿色建筑等级不清等权责交叉或管理空白；另一方面，部门间缺乏明确可行的联动体制机制，导致协作配合缺乏制度保障，难以形成推进合力。</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2.发展质量仍需提升</w:t>
      </w:r>
    </w:p>
    <w:p>
      <w:pPr>
        <w:adjustRightIn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绿色建筑发展存在量质不均和建设质量水平不齐的问题。星级绿色建筑大多只做到预评价，正式认定项目少；三星级绿色建筑和超低（近零）能耗建筑少，低碳（近零碳）建筑还未实现零的突破，超低能耗试点项目基本为公共建筑，居住建筑极少，距离北京、上海等一线城市超低能耗建筑规模化发展还有较大差距；居住建筑平均节能水平实现72%节能水平，较之浙江、安徽等临近省市略有差距，建议制定更高节能水平标准规范；各区绿色低碳建筑发展水平参差不齐，重点发展区域带动作用有待增强。装配式建筑方面，存在未按规划设计条件实施、设计标准化不成熟等问题。绿色建材存在技术标准与评价体系不完善，应用推广力度欠缺，成本居高不下。</w:t>
      </w:r>
    </w:p>
    <w:p>
      <w:pPr>
        <w:adjustRightInd w:val="0"/>
        <w:spacing w:line="560" w:lineRule="exact"/>
        <w:ind w:firstLine="643" w:firstLineChars="200"/>
        <w:outlineLvl w:val="2"/>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3.城市更新还需添绿</w:t>
      </w:r>
    </w:p>
    <w:p>
      <w:pPr>
        <w:adjustRightIn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既有建筑节能改造工作正稳步推进，目前已从早期试点示范转向规模化推广阶段，但资金投入不足，整体成效欠佳。有待积极探索绿色节能改造与城市更新、老旧小区改造的协同发展模式，制定相关激励及约束性政策，以规模化、系统化推进城市绿色低碳更新工作。</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4.技术体系亟待健全</w:t>
      </w:r>
    </w:p>
    <w:p>
      <w:pPr>
        <w:adjustRightIn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绿色建筑技术应用仍面临创新不足、集成度低的瓶颈，且本土化适配不足。针对目前建筑节能与绿色建筑发展过程中遇到的共问题与难点问题的技术产品创新研究尚显不足，应进一步加强推进诸如建筑柔性智慧化供能、建筑能碳管理技术、可再生能源全量供应等技术措施的创新研究，推动建筑能效提升。</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5.发展环境有待优化</w:t>
      </w:r>
    </w:p>
    <w:p>
      <w:pPr>
        <w:adjustRightIn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当前市场对绿色建筑的积极性受限于其成本与收益不匹配性。绿色建筑的相关激励政策，对开发商吸引力不足，且申报流程复杂，绿色建筑带来的绿色溢价效益不明显，市场对于绿色建筑开发的动力不足。</w:t>
      </w:r>
    </w:p>
    <w:p>
      <w:pPr>
        <w:adjustRightInd w:val="0"/>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6.宣传力度尚需增强</w:t>
      </w:r>
    </w:p>
    <w:p>
      <w:pPr>
        <w:adjustRightIn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公众对绿色建筑的健康、节能效益了解依旧不足，对于绿色建筑产生的核心效益缺乏信心，已建成的绿色建筑项目公众参与度不足。开发商和公众对绿色金融政策的知晓率不足，绿色信贷、税费优惠等政策未形成“一站式”解读指南。</w:t>
      </w:r>
    </w:p>
    <w:bookmarkEnd w:id="14"/>
    <w:bookmarkEnd w:id="15"/>
    <w:p>
      <w:pPr>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（四）“十五五”发展形势</w:t>
      </w:r>
    </w:p>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1.碳达峰目标的核心支撑：“碳排放达峰”如期实现需要以绿色建筑为抓手</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碳达峰是我国实现碳中和目标的重要阶段性任务，建筑领域作为碳排放的重要来源之一，其绿色低碳转型是实现碳达峰目标的关键支撑。武汉市作为国家中心城市，建筑领域碳排放占比显著。根据相关研究，建筑领域碳排放占武汉市碳排放总量的比例将近1/3，推动绿色低碳建筑发展是实现碳达峰目标的关键路径。建筑碳排放是指建筑全寿命期的碳排放，涉及建材生产、建造施工、建筑运行等多个环节，其中建筑运行阶段排放占比最大。绿色低碳建筑可以通过提升建筑能效水平、优化用能结构、推广可再生能源应用等措施显著降低建筑运行阶段的碳排放强度，为武汉市探索建筑领域深度减碳路径提供实践经验。</w:t>
      </w:r>
    </w:p>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2.民生需求的必然导向：“以人民为中心”要求提升绿色建筑发展内涵</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随着经济社会发展和人民生活水平的提高，人民群众对居住环境、建筑品质和健康舒适的需求日益增长。高品质绿色建筑通过优化建筑性能、提升室内环境质量、降低能源消耗等方式，能够更好地满足人民群众对高品质建筑的需求。武汉市作为人口密集的特大型城市，建筑领域的绿色发展与民生改善息息相关。建筑保温隔热性能的提升、室内空气质量的改善等均关系到居民居住环境的健康性和舒适性。绿色建筑、低碳社区的建设对于居民居住环境的生态性和便利性至关重要，提升居民的幸福感和获得感的重要载体。</w:t>
      </w:r>
    </w:p>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3.创新发展的时代要求：“中部地区中心城市”要求打造绿色创新发展新高地</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在国家“双碳”战略背景下，绿色低碳发展已成为城市竞争的新赛道。绿色建筑产业链的完善和产业集群的打造，能够为武汉市培育新的经济增长点，推动经济高质量发展。通过推动智能建造与建筑工业化协同发展，提升建筑信息化水平，推广新型绿色低碳建造方式，武汉市可以在建筑领域实现技术突破和产业升级。作为中部地区中心城市，武汉市需锚定“支点”建设，发挥“龙头”作用，着力推进绿色建筑领域的创新发展不仅关系到城市自身的可持续发展，形成可复制、可推广的实践经验，为全国绿色低碳发展贡献“武汉智慧”和“武汉方案”。</w:t>
      </w:r>
    </w:p>
    <w:p>
      <w:pPr>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4.自然资源与城乡建设融合协同需要：“绿色建筑高质量发展”要求绿色建筑布局融入国土空间规划</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随着气候变化问题的日益严峻，城市作为碳排放的主要来源，需要在空间规划中主动响应国家碳达峰、碳中和的战略要求，因而将建筑绿色低碳化发展理念融入国土空间规划与管理是实现城市可持续发展的必然选择。通过优化国土空间布局，推动绿色建筑高质量发展，可以有效减少城市碳排放，提升资源利用效率，改善居民生活质量，促进城市与自然的和谐共生，推动绿色产业的发展，提升城市的综合竞争力和吸引力。</w:t>
      </w:r>
    </w:p>
    <w:p>
      <w:pPr>
        <w:spacing w:line="560" w:lineRule="exact"/>
        <w:ind w:firstLine="643" w:firstLineChars="200"/>
        <w:outlineLvl w:val="0"/>
        <w:rPr>
          <w:rFonts w:hint="default" w:ascii="Times New Roman" w:hAnsi="Times New Roman" w:eastAsia="国标黑体" w:cs="Times New Roman"/>
          <w:b/>
          <w:bCs/>
          <w:color w:val="auto"/>
          <w:sz w:val="32"/>
          <w:szCs w:val="32"/>
        </w:rPr>
      </w:pPr>
      <w:r>
        <w:rPr>
          <w:rFonts w:hint="default" w:ascii="Times New Roman" w:hAnsi="Times New Roman" w:eastAsia="国标黑体" w:cs="Times New Roman"/>
          <w:b/>
          <w:bCs/>
          <w:color w:val="auto"/>
          <w:sz w:val="32"/>
          <w:szCs w:val="32"/>
        </w:rPr>
        <w:t>三、“十五五”总体要求</w:t>
      </w:r>
    </w:p>
    <w:p>
      <w:pPr>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（一）指导思想</w:t>
      </w:r>
    </w:p>
    <w:p>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 w:cs="Times New Roman"/>
          <w:color w:val="auto"/>
          <w:sz w:val="32"/>
          <w:szCs w:val="32"/>
        </w:rPr>
        <w:t>深入贯彻落实党的二十大精神，践行习近平生态文明思想，坚持“创新、协调、绿色、开放、共享”和“绿水青山就是金山银山”的发展理念，以实现碳达峰碳中和目标为导向，以推动“宜居、创新、智慧、绿色、人文”韧性城市和高质量建筑为核心，以提升建筑能效和品质为重点，统筹城市更新、高品质建筑、智能建造与绿色低碳发展。通过创新驱动、政策引领、市场运作和社会参与，加快推进绿色建筑高质量发展、建筑能效水平提升、可再生能源应用和智能建造技术推广，全面构建绿色、智慧、低碳的城乡建设新模式，助力武汉市建设成为全国绿色建筑创新发展新高地。</w:t>
      </w:r>
    </w:p>
    <w:p>
      <w:pPr>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（二）基本原则</w:t>
      </w:r>
    </w:p>
    <w:p>
      <w:pPr>
        <w:adjustRightInd w:val="0"/>
        <w:snapToGrid w:val="0"/>
        <w:spacing w:line="56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坚持以人为本。</w:t>
      </w:r>
      <w:r>
        <w:rPr>
          <w:rFonts w:hint="default" w:ascii="Times New Roman" w:hAnsi="Times New Roman" w:eastAsia="仿宋" w:cs="Times New Roman"/>
          <w:color w:val="auto"/>
          <w:sz w:val="32"/>
          <w:szCs w:val="32"/>
        </w:rPr>
        <w:t>绿色建筑发展以提升人民生活品质为核心，注重建筑的健康、舒适与宜居性。通过优化建筑性能、改善室内环境质量、推广智能化管理等措施，满足人民群众对高品质建筑的需求，增强居民幸福感和获得感。坚持以人为本，是实现绿色建筑高质量发展的根本出发点。</w:t>
      </w:r>
    </w:p>
    <w:p>
      <w:pPr>
        <w:adjustRightInd w:val="0"/>
        <w:snapToGrid w:val="0"/>
        <w:spacing w:line="56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坚持质量导向。</w:t>
      </w:r>
      <w:r>
        <w:rPr>
          <w:rFonts w:hint="default" w:ascii="Times New Roman" w:hAnsi="Times New Roman" w:eastAsia="仿宋" w:cs="Times New Roman"/>
          <w:color w:val="auto"/>
          <w:sz w:val="32"/>
          <w:szCs w:val="32"/>
        </w:rPr>
        <w:t>以高质量发展为目标，推动绿色建筑从规模扩张向品质提升转变。通过完善绿色建筑标准体系、加强全过程质量监管、推广高品质绿色建材等方式，全面提升建筑能效水平和使用寿命。坚持质量导向，是实现绿色建筑可持续发展的关键路径。</w:t>
      </w:r>
    </w:p>
    <w:p>
      <w:pPr>
        <w:adjustRightInd w:val="0"/>
        <w:snapToGrid w:val="0"/>
        <w:spacing w:line="56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坚持协同融合。</w:t>
      </w:r>
      <w:r>
        <w:rPr>
          <w:rFonts w:hint="default" w:ascii="Times New Roman" w:hAnsi="Times New Roman" w:eastAsia="仿宋" w:cs="Times New Roman"/>
          <w:color w:val="auto"/>
          <w:sz w:val="32"/>
          <w:szCs w:val="32"/>
        </w:rPr>
        <w:t>绿色建筑发展需要与城市更新、乡村振兴、智慧城市建设等多领域协同推进。通过优化城乡空间布局、推动可再生能源应用、促进产业链上下游协同发展，构建绿色建筑发展的整体框架。同时，加强发改、资建、住更、经信、财政、金融等主管部门协同，通过“策规投建营”一体的工作模式推动绿色建筑高质量发展。坚持协同融合，是实现绿色建筑创新发展的重要保障。</w:t>
      </w:r>
    </w:p>
    <w:p>
      <w:pPr>
        <w:adjustRightInd w:val="0"/>
        <w:snapToGrid w:val="0"/>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b/>
          <w:bCs/>
          <w:color w:val="auto"/>
          <w:sz w:val="32"/>
          <w:szCs w:val="32"/>
        </w:rPr>
        <w:t>坚持创新驱动。</w:t>
      </w:r>
      <w:r>
        <w:rPr>
          <w:rFonts w:hint="default" w:ascii="Times New Roman" w:hAnsi="Times New Roman" w:eastAsia="仿宋" w:cs="Times New Roman"/>
          <w:color w:val="auto"/>
          <w:sz w:val="32"/>
          <w:szCs w:val="32"/>
        </w:rPr>
        <w:t>以科技创新为引领，推动绿色建筑技术、管理和服务模式的全面升级。通过研发推广绿色低碳建造技术、智能化管理平台、装配式建筑等，提升绿色建筑的技术水平和市场竞争力。坚持创新驱动，是实现绿色建筑高质量发展的核心动力。</w:t>
      </w:r>
    </w:p>
    <w:p>
      <w:pPr>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（三）发展目标</w:t>
      </w:r>
    </w:p>
    <w:p>
      <w:pPr>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1.总体目标</w:t>
      </w:r>
    </w:p>
    <w:p>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五五”期间，以国土空间规划为统筹引领，锚定建筑领域如期碳达峰、绿色建筑高质量发展和培育绿色建筑等新的经济增长点核心目标，以科技创新建立绿色低碳建筑技术体系、带动绿色低碳建筑产业升级转型，构建“生态优先、空间集约、城乡协同”的绿色建筑发展新格局。</w:t>
      </w:r>
    </w:p>
    <w:p>
      <w:pPr>
        <w:spacing w:line="560" w:lineRule="exact"/>
        <w:ind w:firstLine="640" w:firstLineChars="200"/>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lang w:bidi="ar"/>
        </w:rPr>
        <w:t>到2027年，打造3个绿色低碳示范新城、3个高质量绿色低碳建筑示范区、10个城市绿色低碳更新示范区，建设不少于5个省级以上的绿色低碳科技创新平台，完成不少于10项高质量绿色低碳建筑示范工程。示范新城及示范区内新建民用建筑高星级绿色建筑比例达60%以上，推进超低能耗建筑规模化发展，推动近零碳建筑试点示范，开展既有建筑绿色低碳系统化改造。</w:t>
      </w:r>
    </w:p>
    <w:p>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到2030年，打造3个绿色低碳示范新城、8个高质量绿色低碳建筑示范区、30个城市绿色低碳更新示范区，建设不少于10个省级以上的绿色低碳科技创新平台，完成不少于40项高质量绿色低碳建筑示范工程。新建民用建筑全面按照绿色建筑一星级及以上标准建设，绿色低碳示范新城、示范区等重点区域全面实现二星级及以上的高星级绿色建筑全覆盖，近零能耗建筑（含超低能耗、近零能耗和零能耗建筑）规模化发展，零碳建筑（含低碳、近零碳和零碳建筑）示范效应进一步增强，城市更新和既有建筑节能改造品质进一步提升。建筑领域碳排放达到峰值，绿色低碳发展模式基本形成，人民群众生产生活空间明显改善，绿色建筑高质量发展水平走在全国前列。</w:t>
      </w:r>
    </w:p>
    <w:p>
      <w:pPr>
        <w:ind w:firstLine="602" w:firstLineChars="200"/>
        <w:jc w:val="center"/>
        <w:rPr>
          <w:rFonts w:hint="default" w:ascii="Times New Roman" w:hAnsi="Times New Roman" w:eastAsia="仿宋" w:cs="Times New Roman"/>
          <w:b/>
          <w:bCs/>
          <w:color w:val="auto"/>
          <w:sz w:val="30"/>
          <w:szCs w:val="30"/>
          <w:lang w:bidi="ar"/>
        </w:rPr>
      </w:pPr>
      <w:r>
        <w:rPr>
          <w:rFonts w:hint="default" w:ascii="Times New Roman" w:hAnsi="Times New Roman" w:eastAsia="仿宋" w:cs="Times New Roman"/>
          <w:b/>
          <w:bCs/>
          <w:color w:val="auto"/>
          <w:sz w:val="30"/>
          <w:szCs w:val="30"/>
          <w:lang w:bidi="ar"/>
        </w:rPr>
        <w:t>表3.1 武汉市绿色建筑“十五五”发展目标</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00"/>
        <w:gridCol w:w="783"/>
        <w:gridCol w:w="917"/>
        <w:gridCol w:w="1600"/>
        <w:gridCol w:w="830"/>
        <w:gridCol w:w="1171"/>
        <w:gridCol w:w="716"/>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015" w:type="pct"/>
            <w:gridSpan w:val="2"/>
            <w:shd w:val="clear" w:color="auto" w:fill="auto"/>
            <w:vAlign w:val="center"/>
          </w:tcPr>
          <w:p>
            <w:pPr>
              <w:widowControl/>
              <w:adjustRightInd w:val="0"/>
              <w:snapToGrid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目标项</w:t>
            </w: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主要指标项</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eastAsia="zh-CN"/>
              </w:rPr>
              <w:t>“</w:t>
            </w:r>
            <w:r>
              <w:rPr>
                <w:rFonts w:hint="default" w:ascii="Times New Roman" w:hAnsi="Times New Roman" w:eastAsia="仿宋_GB2312" w:cs="Times New Roman"/>
                <w:b/>
                <w:bCs/>
                <w:color w:val="auto"/>
                <w:kern w:val="0"/>
                <w:sz w:val="24"/>
                <w:szCs w:val="24"/>
              </w:rPr>
              <w:t>十五五</w:t>
            </w:r>
            <w:r>
              <w:rPr>
                <w:rFonts w:hint="eastAsia" w:ascii="Times New Roman" w:hAnsi="Times New Roman" w:eastAsia="仿宋_GB2312" w:cs="Times New Roman"/>
                <w:b/>
                <w:bCs/>
                <w:color w:val="auto"/>
                <w:kern w:val="0"/>
                <w:sz w:val="24"/>
                <w:szCs w:val="24"/>
                <w:lang w:eastAsia="zh-CN"/>
              </w:rPr>
              <w:t>”</w:t>
            </w:r>
            <w:r>
              <w:rPr>
                <w:rFonts w:hint="default" w:ascii="Times New Roman" w:hAnsi="Times New Roman" w:eastAsia="仿宋_GB2312" w:cs="Times New Roman"/>
                <w:b/>
                <w:bCs/>
                <w:color w:val="auto"/>
                <w:kern w:val="0"/>
                <w:sz w:val="24"/>
                <w:szCs w:val="24"/>
              </w:rPr>
              <w:t>目标</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单位</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Cs w:val="21"/>
              </w:rPr>
              <w:t>建筑碳排放达峰</w:t>
            </w:r>
          </w:p>
        </w:tc>
        <w:tc>
          <w:tcPr>
            <w:tcW w:w="586"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Cs w:val="21"/>
              </w:rPr>
              <w:t>建筑碳排放强度</w:t>
            </w: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新建居住建筑碳排放强度降低（对比2025年）</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 w:val="24"/>
                <w:szCs w:val="24"/>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 w:val="24"/>
                <w:szCs w:val="24"/>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新建公共建筑碳排放强度降低（对比2025年）</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推广绿色建筑高质量发展</w:t>
            </w:r>
          </w:p>
        </w:tc>
        <w:tc>
          <w:tcPr>
            <w:tcW w:w="586"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建筑节能</w:t>
            </w:r>
          </w:p>
        </w:tc>
        <w:tc>
          <w:tcPr>
            <w:tcW w:w="2423" w:type="pct"/>
            <w:gridSpan w:val="4"/>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城镇新建居住建筑能效水平提升（对比2025年）</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城镇新建公共建筑能效水平提升（对比2025年）</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近零能耗建筑（含超低能耗、近零能耗和零能耗建筑）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万平方米</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零碳建筑（含低碳、近零碳和零碳建筑）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万平方米</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绿色建筑</w:t>
            </w: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星级绿色建筑占当年新增绿色建筑面积的比例</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restar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居住建筑</w:t>
            </w:r>
          </w:p>
        </w:tc>
        <w:tc>
          <w:tcPr>
            <w:tcW w:w="1963" w:type="pct"/>
            <w:gridSpan w:val="3"/>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超高层居住建筑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1963" w:type="pct"/>
            <w:gridSpan w:val="3"/>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政府投资或国有资金参与投资居住建筑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restar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其他居住建筑</w:t>
            </w:r>
          </w:p>
        </w:tc>
        <w:tc>
          <w:tcPr>
            <w:tcW w:w="1425" w:type="pct"/>
            <w:gridSpan w:val="2"/>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面积≥10万m2</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16" w:name="_Hlk211593812"/>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面积＜10万m2</w:t>
            </w:r>
          </w:p>
        </w:tc>
        <w:tc>
          <w:tcPr>
            <w:tcW w:w="4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≥基本级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restar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公共建筑</w:t>
            </w:r>
          </w:p>
        </w:tc>
        <w:tc>
          <w:tcPr>
            <w:tcW w:w="1963" w:type="pct"/>
            <w:gridSpan w:val="3"/>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超高层公共建筑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政府投资或国有资金参与投资的公共建筑</w:t>
            </w:r>
          </w:p>
        </w:tc>
        <w:tc>
          <w:tcPr>
            <w:tcW w:w="938" w:type="pct"/>
            <w:vMerge w:val="restar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面积≥2万m2</w:t>
            </w:r>
          </w:p>
        </w:tc>
        <w:tc>
          <w:tcPr>
            <w:tcW w:w="4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1425" w:type="pct"/>
            <w:gridSpan w:val="2"/>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面积＜2万m2</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17" w:name="_Hlk211594212"/>
            <w:bookmarkStart w:id="18" w:name="_Hlk211594203"/>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其他公共建筑</w:t>
            </w:r>
          </w:p>
        </w:tc>
        <w:tc>
          <w:tcPr>
            <w:tcW w:w="1425" w:type="pct"/>
            <w:gridSpan w:val="2"/>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面积≥2万m2</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0.5万m2＜面积＜2万m2</w:t>
            </w:r>
          </w:p>
        </w:tc>
        <w:tc>
          <w:tcPr>
            <w:tcW w:w="4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面积≤0.5万m2</w:t>
            </w:r>
          </w:p>
        </w:tc>
        <w:tc>
          <w:tcPr>
            <w:tcW w:w="4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≥一星级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19" w:name="OLE_LINK53"/>
            <w:bookmarkStart w:id="20" w:name="OLE_LINK52"/>
            <w:r>
              <w:rPr>
                <w:rFonts w:hint="default" w:ascii="Times New Roman" w:hAnsi="Times New Roman" w:eastAsia="仿宋_GB2312" w:cs="Times New Roman"/>
                <w:color w:val="auto"/>
                <w:kern w:val="0"/>
                <w:szCs w:val="21"/>
              </w:rPr>
              <w:t>≥</w:t>
            </w:r>
            <w:bookmarkEnd w:id="19"/>
            <w:bookmarkEnd w:id="20"/>
            <w:r>
              <w:rPr>
                <w:rFonts w:hint="default" w:ascii="Times New Roman" w:hAnsi="Times New Roman" w:eastAsia="仿宋_GB2312" w:cs="Times New Roman"/>
                <w:color w:val="auto"/>
                <w:kern w:val="0"/>
                <w:szCs w:val="21"/>
              </w:rPr>
              <w:t>基本级</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绿色低碳生态城区、绿色建筑集中示范区</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可再生能源</w:t>
            </w: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新建公共机构建筑、新建厂房屋顶光伏覆盖率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其他类型新建公共建筑屋顶光伏覆盖率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城镇新建建筑可再生能源替代率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建筑电气化</w:t>
            </w: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建筑终端电气化率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推进既有建筑改造</w:t>
            </w:r>
          </w:p>
        </w:tc>
        <w:tc>
          <w:tcPr>
            <w:tcW w:w="586"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既有建筑节能改造</w:t>
            </w: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既有建筑节能绿色率改造建筑面积</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万平方米</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公共建筑改造后整体能效提升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21" w:name="_Hlk211596669"/>
            <w:r>
              <w:rPr>
                <w:rFonts w:hint="default" w:ascii="Times New Roman" w:hAnsi="Times New Roman" w:eastAsia="仿宋_GB2312" w:cs="Times New Roman"/>
                <w:color w:val="auto"/>
                <w:kern w:val="0"/>
                <w:szCs w:val="21"/>
              </w:rPr>
              <w:t>推行绿色化新型建造方式</w:t>
            </w:r>
          </w:p>
        </w:tc>
        <w:tc>
          <w:tcPr>
            <w:tcW w:w="586"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大力发展装配式</w:t>
            </w:r>
          </w:p>
        </w:tc>
        <w:tc>
          <w:tcPr>
            <w:tcW w:w="2423" w:type="pct"/>
            <w:gridSpan w:val="4"/>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22" w:name="OLE_LINK62"/>
            <w:bookmarkStart w:id="23" w:name="OLE_LINK58"/>
            <w:r>
              <w:rPr>
                <w:rFonts w:hint="default" w:ascii="Times New Roman" w:hAnsi="Times New Roman" w:eastAsia="仿宋_GB2312" w:cs="Times New Roman"/>
                <w:color w:val="auto"/>
                <w:kern w:val="0"/>
                <w:szCs w:val="21"/>
              </w:rPr>
              <w:t>装配式建筑占新建建筑面积的比例</w:t>
            </w:r>
            <w:bookmarkEnd w:id="22"/>
            <w:bookmarkEnd w:id="23"/>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居住建筑</w:t>
            </w:r>
          </w:p>
        </w:tc>
        <w:tc>
          <w:tcPr>
            <w:tcW w:w="1963" w:type="pct"/>
            <w:gridSpan w:val="3"/>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24" w:name="OLE_LINK64"/>
            <w:r>
              <w:rPr>
                <w:rFonts w:hint="default" w:ascii="Times New Roman" w:hAnsi="Times New Roman" w:eastAsia="仿宋_GB2312" w:cs="Times New Roman"/>
                <w:color w:val="auto"/>
                <w:kern w:val="0"/>
                <w:szCs w:val="21"/>
              </w:rPr>
              <w:t>政府投资或国有资金参与投资居住建筑</w:t>
            </w:r>
            <w:bookmarkEnd w:id="24"/>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其他居住建筑</w:t>
            </w:r>
          </w:p>
        </w:tc>
        <w:tc>
          <w:tcPr>
            <w:tcW w:w="1425" w:type="pct"/>
            <w:gridSpan w:val="2"/>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面积≥6万m2</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0.5万m2</w:t>
            </w:r>
            <w:bookmarkStart w:id="25" w:name="OLE_LINK103"/>
            <w:bookmarkStart w:id="26" w:name="OLE_LINK104"/>
            <w:r>
              <w:rPr>
                <w:rFonts w:hint="default" w:ascii="Times New Roman" w:hAnsi="Times New Roman" w:eastAsia="仿宋_GB2312" w:cs="Times New Roman"/>
                <w:color w:val="auto"/>
                <w:kern w:val="0"/>
                <w:szCs w:val="21"/>
              </w:rPr>
              <w:t>≤</w:t>
            </w:r>
            <w:bookmarkEnd w:id="25"/>
            <w:bookmarkEnd w:id="26"/>
            <w:r>
              <w:rPr>
                <w:rFonts w:hint="default" w:ascii="Times New Roman" w:hAnsi="Times New Roman" w:eastAsia="仿宋_GB2312" w:cs="Times New Roman"/>
                <w:color w:val="auto"/>
                <w:kern w:val="0"/>
                <w:szCs w:val="21"/>
              </w:rPr>
              <w:t>面积＜6万m2</w:t>
            </w: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公共建筑</w:t>
            </w:r>
          </w:p>
        </w:tc>
        <w:tc>
          <w:tcPr>
            <w:tcW w:w="1963" w:type="pct"/>
            <w:gridSpan w:val="3"/>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政府投资或国有资金参与投资公共建筑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其他公共建筑</w:t>
            </w:r>
          </w:p>
        </w:tc>
        <w:tc>
          <w:tcPr>
            <w:tcW w:w="1425" w:type="pct"/>
            <w:gridSpan w:val="2"/>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面积≥2万m2</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27" w:name="_Hlk211594401"/>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28" w:name="OLE_LINK100"/>
            <w:bookmarkStart w:id="29" w:name="OLE_LINK99"/>
            <w:bookmarkStart w:id="30" w:name="OLE_LINK98"/>
            <w:r>
              <w:rPr>
                <w:rFonts w:hint="default" w:ascii="Times New Roman" w:hAnsi="Times New Roman" w:eastAsia="仿宋_GB2312" w:cs="Times New Roman"/>
                <w:color w:val="auto"/>
                <w:kern w:val="0"/>
                <w:szCs w:val="21"/>
              </w:rPr>
              <w:t>0.5万m2</w:t>
            </w:r>
            <w:bookmarkEnd w:id="28"/>
            <w:bookmarkEnd w:id="29"/>
            <w:bookmarkEnd w:id="30"/>
            <w:r>
              <w:rPr>
                <w:rFonts w:hint="default" w:ascii="Times New Roman" w:hAnsi="Times New Roman" w:eastAsia="仿宋_GB2312" w:cs="Times New Roman"/>
                <w:color w:val="auto"/>
                <w:kern w:val="0"/>
                <w:szCs w:val="21"/>
              </w:rPr>
              <w:t>≤面积＜2万m2</w:t>
            </w: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bookmarkEnd w:id="21"/>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31" w:name="_Hlk211594626"/>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工业建筑</w:t>
            </w:r>
          </w:p>
        </w:tc>
        <w:tc>
          <w:tcPr>
            <w:tcW w:w="1963" w:type="pct"/>
            <w:gridSpan w:val="3"/>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政府投资或国有资金参与投资工业建筑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32" w:name="OLE_LINK82"/>
            <w:bookmarkStart w:id="33" w:name="OLE_LINK81"/>
            <w:r>
              <w:rPr>
                <w:rFonts w:hint="default" w:ascii="Times New Roman" w:hAnsi="Times New Roman" w:eastAsia="仿宋_GB2312" w:cs="Times New Roman"/>
                <w:color w:val="auto"/>
                <w:kern w:val="0"/>
                <w:szCs w:val="21"/>
              </w:rPr>
              <w:t>≥AAA</w:t>
            </w:r>
            <w:bookmarkEnd w:id="32"/>
            <w:bookmarkEnd w:id="33"/>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34" w:name="_Hlk211594704"/>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其他工业建筑</w:t>
            </w:r>
          </w:p>
        </w:tc>
        <w:tc>
          <w:tcPr>
            <w:tcW w:w="1425" w:type="pct"/>
            <w:gridSpan w:val="2"/>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面积≥10万m2</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2万m2＜面积＜10万m2</w:t>
            </w: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35" w:name="OLE_LINK90"/>
            <w:r>
              <w:rPr>
                <w:rFonts w:hint="default" w:ascii="Times New Roman" w:hAnsi="Times New Roman" w:eastAsia="仿宋_GB2312" w:cs="Times New Roman"/>
                <w:color w:val="auto"/>
                <w:kern w:val="0"/>
                <w:szCs w:val="21"/>
              </w:rPr>
              <w:t>重点区域</w:t>
            </w:r>
            <w:bookmarkEnd w:id="35"/>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≥AA</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BIM全流程运用</w:t>
            </w:r>
          </w:p>
        </w:tc>
        <w:tc>
          <w:tcPr>
            <w:tcW w:w="2423" w:type="pct"/>
            <w:gridSpan w:val="4"/>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政府投资的重要新建项目（单体3万平方米以上公共建筑、项目投资1亿元以上的市政基础设施）BIM模型建模率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36" w:name="OLE_LINK55"/>
            <w:bookmarkStart w:id="37" w:name="OLE_LINK56"/>
            <w:r>
              <w:rPr>
                <w:rFonts w:hint="default" w:ascii="Times New Roman" w:hAnsi="Times New Roman" w:eastAsia="仿宋_GB2312" w:cs="Times New Roman"/>
                <w:color w:val="auto"/>
                <w:kern w:val="0"/>
                <w:szCs w:val="21"/>
              </w:rPr>
              <w:t>预期性</w:t>
            </w:r>
            <w:bookmarkEnd w:id="36"/>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推动绿色建材规模化应用</w:t>
            </w:r>
          </w:p>
        </w:tc>
        <w:tc>
          <w:tcPr>
            <w:tcW w:w="586"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绿色建材</w:t>
            </w: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预拌混凝土应用率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预拌砂浆应用率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新型墙体材料应用率</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bookmarkStart w:id="38" w:name="_Hlk211596682"/>
          </w:p>
        </w:tc>
        <w:tc>
          <w:tcPr>
            <w:tcW w:w="586" w:type="pct"/>
            <w:vMerge w:val="continue"/>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2423" w:type="pct"/>
            <w:gridSpan w:val="4"/>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新建建筑绿色建材应用比例</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居住建筑</w:t>
            </w:r>
          </w:p>
        </w:tc>
        <w:tc>
          <w:tcPr>
            <w:tcW w:w="1963" w:type="pct"/>
            <w:gridSpan w:val="3"/>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政府投资或国有资金参与投资居住建筑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其他居住建筑</w:t>
            </w:r>
          </w:p>
        </w:tc>
        <w:tc>
          <w:tcPr>
            <w:tcW w:w="1425" w:type="pct"/>
            <w:gridSpan w:val="2"/>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面积≥10万m2</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面积＜10万m2</w:t>
            </w: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公共建筑</w:t>
            </w:r>
          </w:p>
        </w:tc>
        <w:tc>
          <w:tcPr>
            <w:tcW w:w="1963" w:type="pct"/>
            <w:gridSpan w:val="3"/>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政府投资或国有资金参与投资公共建筑</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其他公共建筑</w:t>
            </w:r>
          </w:p>
        </w:tc>
        <w:tc>
          <w:tcPr>
            <w:tcW w:w="1425" w:type="pct"/>
            <w:gridSpan w:val="2"/>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面积≥2万m2</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0.5≤</w:t>
            </w:r>
            <w:bookmarkStart w:id="39" w:name="OLE_LINK105"/>
            <w:bookmarkStart w:id="40" w:name="OLE_LINK106"/>
            <w:r>
              <w:rPr>
                <w:rFonts w:hint="default" w:ascii="Times New Roman" w:hAnsi="Times New Roman" w:eastAsia="仿宋_GB2312" w:cs="Times New Roman"/>
                <w:color w:val="auto"/>
                <w:kern w:val="0"/>
                <w:szCs w:val="21"/>
              </w:rPr>
              <w:t>面积＜2万m2</w:t>
            </w:r>
            <w:bookmarkEnd w:id="39"/>
            <w:bookmarkEnd w:id="40"/>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restar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面积＜0.5万m2</w:t>
            </w: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重点区域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55</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jc w:val="center"/>
              <w:rPr>
                <w:rFonts w:hint="default" w:ascii="Times New Roman" w:hAnsi="Times New Roman" w:cs="Times New Roman"/>
                <w:color w:val="auto"/>
              </w:rPr>
            </w:pPr>
            <w:r>
              <w:rPr>
                <w:rFonts w:hint="default" w:ascii="Times New Roman" w:hAnsi="Times New Roman" w:eastAsia="仿宋_GB2312" w:cs="Times New Roman"/>
                <w:color w:val="auto"/>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86"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59"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5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938" w:type="pct"/>
            <w:vMerge w:val="continue"/>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p>
        </w:tc>
        <w:tc>
          <w:tcPr>
            <w:tcW w:w="487" w:type="pct"/>
            <w:shd w:val="clear" w:color="auto" w:fill="auto"/>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一般区域</w:t>
            </w:r>
          </w:p>
        </w:tc>
        <w:tc>
          <w:tcPr>
            <w:tcW w:w="687"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50</w:t>
            </w:r>
          </w:p>
        </w:tc>
        <w:tc>
          <w:tcPr>
            <w:tcW w:w="420" w:type="pct"/>
            <w:shd w:val="clear" w:color="auto" w:fill="auto"/>
            <w:noWrap/>
            <w:vAlign w:val="center"/>
          </w:tcPr>
          <w:p>
            <w:pPr>
              <w:widowControl/>
              <w:adjustRightInd w:val="0"/>
              <w:snapToGrid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454" w:type="pct"/>
            <w:shd w:val="clear" w:color="auto" w:fill="auto"/>
            <w:noWrap/>
            <w:vAlign w:val="center"/>
          </w:tcPr>
          <w:p>
            <w:pPr>
              <w:jc w:val="center"/>
              <w:rPr>
                <w:rFonts w:hint="default" w:ascii="Times New Roman" w:hAnsi="Times New Roman" w:cs="Times New Roman"/>
                <w:color w:val="auto"/>
              </w:rPr>
            </w:pPr>
            <w:r>
              <w:rPr>
                <w:rFonts w:hint="default" w:ascii="Times New Roman" w:hAnsi="Times New Roman" w:eastAsia="仿宋_GB2312" w:cs="Times New Roman"/>
                <w:color w:val="auto"/>
                <w:kern w:val="0"/>
                <w:szCs w:val="21"/>
              </w:rPr>
              <w:t>约束性</w:t>
            </w:r>
          </w:p>
        </w:tc>
      </w:tr>
    </w:tbl>
    <w:p>
      <w:pPr>
        <w:pStyle w:val="2"/>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注：重点区域包括3个绿色低碳示范新城（武汉新城、长江新区、中法生态示范城）、8个高质量绿色低碳建筑示范区（二七片、汉正街、武昌滨江、青山滨江、王家墩、四新、鲁巷、杨春湖）、30个城市绿色低碳更新示范区（汉口原租界片、武昌旧城片和汉阳龟北片等城市更新区）</w:t>
      </w:r>
    </w:p>
    <w:p>
      <w:pPr>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2.具体目标</w:t>
      </w:r>
    </w:p>
    <w:p>
      <w:pPr>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（1）建筑领域碳达峰如期实现</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逐步实施以强度控制为主、总量控制为辅的碳排放双控制度，建立碳达峰碳中和综合评价考核制度，健全重点用能和碳排放建筑管理制度，并与全国和省级碳排放权交易市场有效衔接，推动建立完善建筑领域绿色低碳发展政策体系。到2030年，全市建筑领域碳如期实现碳排放达峰目标，居住建筑碳排放强度平均降低15%，公共建筑碳排放强度平均降低20%。</w:t>
      </w:r>
    </w:p>
    <w:p>
      <w:pPr>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（2）绿色建筑与城区高质量发展</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进一步提升建筑节能设计标准，到2030年，新建居住建筑本体节能率达到75％，新建公共建筑本体节能率达到78％。持续推进近零能耗建筑、零碳建筑建设，累计完成超</w:t>
      </w:r>
      <w:bookmarkStart w:id="41" w:name="OLE_LINK34"/>
      <w:bookmarkStart w:id="42" w:name="OLE_LINK35"/>
      <w:r>
        <w:rPr>
          <w:rFonts w:hint="default" w:ascii="Times New Roman" w:hAnsi="Times New Roman" w:eastAsia="仿宋_GB2312" w:cs="Times New Roman"/>
          <w:bCs/>
          <w:color w:val="auto"/>
          <w:sz w:val="32"/>
          <w:szCs w:val="32"/>
        </w:rPr>
        <w:t>低能耗、近零能耗或零能耗建筑</w:t>
      </w:r>
      <w:bookmarkEnd w:id="41"/>
      <w:bookmarkEnd w:id="42"/>
      <w:r>
        <w:rPr>
          <w:rFonts w:hint="default" w:ascii="Times New Roman" w:hAnsi="Times New Roman" w:eastAsia="仿宋_GB2312" w:cs="Times New Roman"/>
          <w:bCs/>
          <w:color w:val="auto"/>
          <w:sz w:val="32"/>
          <w:szCs w:val="32"/>
        </w:rPr>
        <w:t>标识项目不少于250万平方米，完成</w:t>
      </w:r>
      <w:bookmarkStart w:id="43" w:name="OLE_LINK39"/>
      <w:bookmarkStart w:id="44" w:name="OLE_LINK38"/>
      <w:r>
        <w:rPr>
          <w:rFonts w:hint="default" w:ascii="Times New Roman" w:hAnsi="Times New Roman" w:eastAsia="仿宋_GB2312" w:cs="Times New Roman"/>
          <w:bCs/>
          <w:color w:val="auto"/>
          <w:sz w:val="32"/>
          <w:szCs w:val="32"/>
        </w:rPr>
        <w:t>低碳、近零碳或零碳建筑</w:t>
      </w:r>
      <w:bookmarkEnd w:id="43"/>
      <w:bookmarkEnd w:id="44"/>
      <w:r>
        <w:rPr>
          <w:rFonts w:hint="default" w:ascii="Times New Roman" w:hAnsi="Times New Roman" w:eastAsia="仿宋_GB2312" w:cs="Times New Roman"/>
          <w:bCs/>
          <w:color w:val="auto"/>
          <w:sz w:val="32"/>
          <w:szCs w:val="32"/>
        </w:rPr>
        <w:t>标识项目不少于100万平方米。</w:t>
      </w:r>
    </w:p>
    <w:p>
      <w:pPr>
        <w:ind w:firstLine="602" w:firstLineChars="200"/>
        <w:jc w:val="center"/>
        <w:rPr>
          <w:rFonts w:hint="default" w:ascii="Times New Roman" w:hAnsi="Times New Roman" w:eastAsia="仿宋" w:cs="Times New Roman"/>
          <w:b/>
          <w:bCs/>
          <w:color w:val="auto"/>
          <w:sz w:val="30"/>
          <w:szCs w:val="30"/>
          <w:lang w:bidi="ar"/>
        </w:rPr>
      </w:pPr>
      <w:r>
        <w:rPr>
          <w:rFonts w:hint="default" w:ascii="Times New Roman" w:hAnsi="Times New Roman" w:eastAsia="仿宋" w:cs="Times New Roman"/>
          <w:b/>
          <w:bCs/>
          <w:color w:val="auto"/>
          <w:sz w:val="30"/>
          <w:szCs w:val="30"/>
          <w:lang w:bidi="ar"/>
        </w:rPr>
        <w:t>表3.2 新增建筑节能能力目标年度分解</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929"/>
        <w:gridCol w:w="929"/>
        <w:gridCol w:w="929"/>
        <w:gridCol w:w="926"/>
        <w:gridCol w:w="929"/>
        <w:gridCol w:w="85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2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项目</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2026年</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2027年</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2028年</w:t>
            </w:r>
          </w:p>
        </w:tc>
        <w:tc>
          <w:tcPr>
            <w:tcW w:w="54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2029年</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2030年</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总计</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超低能耗、近零能耗或零能耗建筑</w:t>
            </w:r>
            <w:bookmarkStart w:id="45" w:name="OLE_LINK45"/>
            <w:bookmarkStart w:id="46" w:name="OLE_LINK40"/>
            <w:r>
              <w:rPr>
                <w:rFonts w:hint="default" w:ascii="Times New Roman" w:hAnsi="Times New Roman" w:eastAsia="仿宋" w:cs="Times New Roman"/>
                <w:color w:val="auto"/>
                <w:sz w:val="24"/>
                <w:szCs w:val="24"/>
                <w:lang w:bidi="ar"/>
              </w:rPr>
              <w:t>（万平方米）</w:t>
            </w:r>
            <w:bookmarkEnd w:id="45"/>
            <w:bookmarkEnd w:id="46"/>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bidi="ar"/>
              </w:rPr>
              <w:t>30</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bidi="ar"/>
              </w:rPr>
              <w:t>40</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bidi="ar"/>
              </w:rPr>
              <w:t>50</w:t>
            </w:r>
          </w:p>
        </w:tc>
        <w:tc>
          <w:tcPr>
            <w:tcW w:w="5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bidi="ar"/>
              </w:rPr>
              <w:t>60</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bidi="ar"/>
              </w:rPr>
              <w:t>70</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lang w:bidi="ar"/>
              </w:rPr>
              <w:t>250</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低碳、近零碳或零碳建筑（万平方米）</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15</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w:t>
            </w:r>
          </w:p>
        </w:tc>
        <w:tc>
          <w:tcPr>
            <w:tcW w:w="5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25</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auto"/>
              </w:rPr>
            </w:pPr>
            <w:r>
              <w:rPr>
                <w:rFonts w:hint="default" w:ascii="Times New Roman" w:hAnsi="Times New Roman" w:eastAsia="仿宋" w:cs="Times New Roman"/>
                <w:color w:val="auto"/>
                <w:sz w:val="24"/>
                <w:szCs w:val="24"/>
              </w:rPr>
              <w:t>30</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100</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bookmarkStart w:id="47" w:name="OLE_LINK46"/>
            <w:bookmarkStart w:id="48" w:name="OLE_LINK47"/>
            <w:r>
              <w:rPr>
                <w:rFonts w:hint="default" w:ascii="Times New Roman" w:hAnsi="Times New Roman" w:eastAsia="仿宋" w:cs="Times New Roman"/>
                <w:color w:val="auto"/>
                <w:sz w:val="24"/>
                <w:szCs w:val="24"/>
                <w:lang w:bidi="ar"/>
              </w:rPr>
              <w:t>预期性</w:t>
            </w:r>
            <w:bookmarkEnd w:id="47"/>
            <w:bookmarkEnd w:id="48"/>
          </w:p>
        </w:tc>
      </w:tr>
    </w:tbl>
    <w:p>
      <w:pPr>
        <w:spacing w:before="156" w:beforeLines="50" w:line="560" w:lineRule="exact"/>
        <w:ind w:firstLine="640" w:firstLineChars="200"/>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lang w:bidi="ar"/>
        </w:rPr>
        <w:t>新建建筑全面执行新版《绿色建筑评价标准》（GB/T 50378）和《绿色建筑设计与工程验收标准》（DB42/T 1319），高星级绿色建筑占比显著提升，到2030年，星级绿色建筑占当年新增绿色建筑面积的比例达80%，创建级</w:t>
      </w:r>
      <w:bookmarkStart w:id="49" w:name="OLE_LINK111"/>
      <w:bookmarkStart w:id="50" w:name="OLE_LINK110"/>
      <w:r>
        <w:rPr>
          <w:rFonts w:hint="default" w:ascii="Times New Roman" w:hAnsi="Times New Roman" w:eastAsia="仿宋" w:cs="Times New Roman"/>
          <w:color w:val="auto"/>
          <w:sz w:val="32"/>
          <w:szCs w:val="32"/>
          <w:lang w:bidi="ar"/>
        </w:rPr>
        <w:t>绿色低碳示范新城</w:t>
      </w:r>
      <w:bookmarkEnd w:id="49"/>
      <w:bookmarkEnd w:id="50"/>
      <w:r>
        <w:rPr>
          <w:rFonts w:hint="default" w:ascii="Times New Roman" w:hAnsi="Times New Roman" w:eastAsia="仿宋" w:cs="Times New Roman"/>
          <w:color w:val="auto"/>
          <w:sz w:val="32"/>
          <w:szCs w:val="32"/>
          <w:lang w:bidi="ar"/>
        </w:rPr>
        <w:t>3个、</w:t>
      </w:r>
      <w:bookmarkStart w:id="51" w:name="OLE_LINK113"/>
      <w:bookmarkStart w:id="52" w:name="OLE_LINK112"/>
      <w:bookmarkStart w:id="53" w:name="OLE_LINK114"/>
      <w:r>
        <w:rPr>
          <w:rFonts w:hint="default" w:ascii="Times New Roman" w:hAnsi="Times New Roman" w:eastAsia="仿宋" w:cs="Times New Roman"/>
          <w:color w:val="auto"/>
          <w:sz w:val="32"/>
          <w:szCs w:val="32"/>
          <w:lang w:bidi="ar"/>
        </w:rPr>
        <w:t>高质量绿色低碳建筑示范区</w:t>
      </w:r>
      <w:bookmarkEnd w:id="51"/>
      <w:bookmarkEnd w:id="52"/>
      <w:bookmarkEnd w:id="53"/>
      <w:r>
        <w:rPr>
          <w:rFonts w:hint="default" w:ascii="Times New Roman" w:hAnsi="Times New Roman" w:eastAsia="仿宋" w:cs="Times New Roman"/>
          <w:color w:val="auto"/>
          <w:sz w:val="32"/>
          <w:szCs w:val="32"/>
          <w:lang w:bidi="ar"/>
        </w:rPr>
        <w:t>8个、城市绿色低碳更新示范区30个，40项</w:t>
      </w:r>
      <w:bookmarkStart w:id="54" w:name="OLE_LINK115"/>
      <w:bookmarkStart w:id="55" w:name="OLE_LINK116"/>
      <w:r>
        <w:rPr>
          <w:rFonts w:hint="default" w:ascii="Times New Roman" w:hAnsi="Times New Roman" w:eastAsia="仿宋" w:cs="Times New Roman"/>
          <w:color w:val="auto"/>
          <w:sz w:val="32"/>
          <w:szCs w:val="32"/>
          <w:lang w:bidi="ar"/>
        </w:rPr>
        <w:t>高质量绿色低碳建筑示范工程</w:t>
      </w:r>
      <w:bookmarkEnd w:id="54"/>
      <w:bookmarkEnd w:id="55"/>
      <w:r>
        <w:rPr>
          <w:rFonts w:hint="default" w:ascii="Times New Roman" w:hAnsi="Times New Roman" w:eastAsia="仿宋" w:cs="Times New Roman"/>
          <w:color w:val="auto"/>
          <w:sz w:val="32"/>
          <w:szCs w:val="32"/>
          <w:lang w:bidi="ar"/>
        </w:rPr>
        <w:t>。</w:t>
      </w:r>
    </w:p>
    <w:p>
      <w:pPr>
        <w:ind w:firstLine="602" w:firstLineChars="200"/>
        <w:jc w:val="center"/>
        <w:rPr>
          <w:rFonts w:hint="default" w:ascii="Times New Roman" w:hAnsi="Times New Roman" w:eastAsia="仿宋" w:cs="Times New Roman"/>
          <w:b/>
          <w:bCs/>
          <w:color w:val="auto"/>
          <w:sz w:val="30"/>
          <w:szCs w:val="30"/>
        </w:rPr>
      </w:pPr>
      <w:r>
        <w:rPr>
          <w:rFonts w:hint="default" w:ascii="Times New Roman" w:hAnsi="Times New Roman" w:eastAsia="仿宋" w:cs="Times New Roman"/>
          <w:b/>
          <w:bCs/>
          <w:color w:val="auto"/>
          <w:sz w:val="30"/>
          <w:szCs w:val="30"/>
          <w:lang w:bidi="ar"/>
        </w:rPr>
        <w:t>表3.3 绿色建筑示范目标年度分解</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949"/>
        <w:gridCol w:w="949"/>
        <w:gridCol w:w="949"/>
        <w:gridCol w:w="949"/>
        <w:gridCol w:w="949"/>
        <w:gridCol w:w="94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项目</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2026年</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2027年</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2028年</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2029年</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2030年</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总计</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3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绿色低碳示范新城</w:t>
            </w:r>
            <w:bookmarkStart w:id="56" w:name="OLE_LINK78"/>
            <w:bookmarkStart w:id="57" w:name="OLE_LINK79"/>
            <w:r>
              <w:rPr>
                <w:rFonts w:hint="default" w:ascii="Times New Roman" w:hAnsi="Times New Roman" w:eastAsia="仿宋" w:cs="Times New Roman"/>
                <w:color w:val="auto"/>
                <w:sz w:val="24"/>
                <w:szCs w:val="24"/>
                <w:lang w:bidi="ar"/>
              </w:rPr>
              <w:t>（个）</w:t>
            </w:r>
            <w:bookmarkEnd w:id="56"/>
            <w:bookmarkEnd w:id="57"/>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1</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2</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0</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0</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0</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3</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 xml:space="preserve">高质量绿色低碳建筑示范区（个） </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1</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2</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2</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2</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1</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8</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城市绿色低碳更新示范区（个）</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5</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5</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6</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6</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8</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30</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高质量绿色低碳建筑示范工程（个）</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4</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6</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8</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10</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12</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40</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预期性</w:t>
            </w:r>
          </w:p>
        </w:tc>
      </w:tr>
    </w:tbl>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在生活热水、电力及供暖空调等供给侧应充分考虑可再生能源应用，大力发展太阳能光伏在建筑领域的分布式、一体化应用。到2030年，</w:t>
      </w:r>
      <w:bookmarkStart w:id="58" w:name="OLE_LINK14"/>
      <w:bookmarkStart w:id="59" w:name="OLE_LINK12"/>
      <w:bookmarkStart w:id="60" w:name="OLE_LINK13"/>
      <w:r>
        <w:rPr>
          <w:rFonts w:hint="default" w:ascii="Times New Roman" w:hAnsi="Times New Roman" w:eastAsia="仿宋_GB2312" w:cs="Times New Roman"/>
          <w:bCs/>
          <w:color w:val="auto"/>
          <w:sz w:val="32"/>
          <w:szCs w:val="32"/>
        </w:rPr>
        <w:t>新建公共机构建筑、新建厂房屋顶光伏覆盖率</w:t>
      </w:r>
      <w:bookmarkEnd w:id="58"/>
      <w:bookmarkEnd w:id="59"/>
      <w:bookmarkEnd w:id="60"/>
      <w:r>
        <w:rPr>
          <w:rFonts w:hint="default" w:ascii="Times New Roman" w:hAnsi="Times New Roman" w:eastAsia="仿宋_GB2312" w:cs="Times New Roman"/>
          <w:bCs/>
          <w:color w:val="auto"/>
          <w:sz w:val="32"/>
          <w:szCs w:val="32"/>
        </w:rPr>
        <w:t>超过50%，其他类型新建公共建筑屋顶光伏覆盖率超过40%，推动既有公共建筑屋顶加装太阳能光伏系统。到2030年，城镇建筑可再生能源替代率达到10％。</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引导建筑供暖、生活热水、炊事等向电气化发展，提高建筑终端电气化水平。到2030年建筑用能中电力消费占比超过85%，推动开展新建公共建筑全面电气化，新建公共建筑全面电气化比例达到30%以上。</w:t>
      </w:r>
    </w:p>
    <w:p>
      <w:pPr>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（3）城市更新建筑品质提升</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依据国土空间规划，结合城市体检评估结果，制定实施城市更新专项规划和既有建筑年度改造计划，持续推进既有建筑节能绿色化改造，既有建筑能效水平显著提升，改造技术路径和市场机制更加完善。到2030年，既有建筑绿色改造面积1500万平方米，取得既有建筑绿色改造、超低能耗改造或零碳改造标识的项目不少于20项。居住建筑节能改造部分的能效应达到现行标准，公共建筑改造后实现整体能效提升20%以上。</w:t>
      </w:r>
    </w:p>
    <w:p>
      <w:pPr>
        <w:ind w:firstLine="602" w:firstLineChars="200"/>
        <w:jc w:val="center"/>
        <w:rPr>
          <w:rFonts w:hint="default" w:ascii="Times New Roman" w:hAnsi="Times New Roman" w:eastAsia="仿宋" w:cs="Times New Roman"/>
          <w:b/>
          <w:bCs/>
          <w:color w:val="auto"/>
          <w:sz w:val="30"/>
          <w:szCs w:val="30"/>
        </w:rPr>
      </w:pPr>
      <w:r>
        <w:rPr>
          <w:rFonts w:hint="default" w:ascii="Times New Roman" w:hAnsi="Times New Roman" w:eastAsia="仿宋" w:cs="Times New Roman"/>
          <w:b/>
          <w:bCs/>
          <w:color w:val="auto"/>
          <w:sz w:val="30"/>
          <w:szCs w:val="30"/>
          <w:lang w:bidi="ar"/>
        </w:rPr>
        <w:t>表3.4 既有建筑绿色改造目标年度分解</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965"/>
        <w:gridCol w:w="966"/>
        <w:gridCol w:w="966"/>
        <w:gridCol w:w="966"/>
        <w:gridCol w:w="966"/>
        <w:gridCol w:w="834"/>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项目</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2026年</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2027年</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2028年</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2029年</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2030年</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总计</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既有建筑绿色改造面积</w:t>
            </w:r>
          </w:p>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（万平方米）</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300</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300</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300</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300</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300</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1500</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既有建筑绿色、超低能耗或零碳改造标识项目（个）</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2</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3</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4</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5</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6</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20</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预期性</w:t>
            </w:r>
          </w:p>
        </w:tc>
      </w:tr>
    </w:tbl>
    <w:p>
      <w:pPr>
        <w:spacing w:line="560" w:lineRule="exact"/>
        <w:ind w:firstLine="643" w:firstLineChars="200"/>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（4）新型建造方式快速应用</w:t>
      </w:r>
    </w:p>
    <w:p>
      <w:pPr>
        <w:spacing w:line="560" w:lineRule="exact"/>
        <w:ind w:firstLine="640" w:firstLineChars="200"/>
        <w:rPr>
          <w:rFonts w:hint="default" w:ascii="Times New Roman" w:hAnsi="Times New Roman" w:eastAsia="仿宋_GB2312" w:cs="Times New Roman"/>
          <w:bCs/>
          <w:color w:val="auto"/>
          <w:sz w:val="32"/>
          <w:szCs w:val="32"/>
        </w:rPr>
      </w:pPr>
      <w:bookmarkStart w:id="61" w:name="OLE_LINK2"/>
      <w:bookmarkStart w:id="62" w:name="OLE_LINK1"/>
      <w:bookmarkStart w:id="63" w:name="OLE_LINK8"/>
      <w:bookmarkStart w:id="64" w:name="OLE_LINK9"/>
      <w:r>
        <w:rPr>
          <w:rFonts w:hint="default" w:ascii="Times New Roman" w:hAnsi="Times New Roman" w:eastAsia="仿宋_GB2312" w:cs="Times New Roman"/>
          <w:bCs/>
          <w:color w:val="auto"/>
          <w:sz w:val="32"/>
          <w:szCs w:val="32"/>
        </w:rPr>
        <w:t>大力推进智能建造发展，稳步推进装配式建筑发展，提高BIM模型建模率。到2030年，装配式建筑占新建建筑面积的比例达到60%，政府投资的重要新建项目（单体3万平方米以上公共建筑、项目投资1亿元以上的市政基础设施）BIM模型建模率达到80%以上，形成新型建造政策体系、产业体系、标准体系、评价体系。</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扩大绿色建材应用规模，完善绿色建材标准体系，培育一批绿色建材产业集群，推动建筑废弃物循环利用。发挥政府投资项目采购绿色建材引领作用，推广绿色建材应用。到2030年，预拌混凝土应用率达到100%，预拌砂浆应用率达到100%，新建建筑绿色建材应用比例达到55%以上，绿色建材星级标识取得率达到50%。</w:t>
      </w:r>
    </w:p>
    <w:bookmarkEnd w:id="61"/>
    <w:bookmarkEnd w:id="62"/>
    <w:bookmarkEnd w:id="63"/>
    <w:bookmarkEnd w:id="64"/>
    <w:p>
      <w:pPr>
        <w:spacing w:line="560" w:lineRule="exact"/>
        <w:ind w:firstLine="640" w:firstLineChars="200"/>
        <w:outlineLvl w:val="0"/>
        <w:rPr>
          <w:rFonts w:hint="default" w:ascii="Times New Roman" w:hAnsi="Times New Roman" w:eastAsia="国标黑体" w:cs="Times New Roman"/>
          <w:bCs/>
          <w:color w:val="auto"/>
          <w:sz w:val="32"/>
          <w:szCs w:val="32"/>
        </w:rPr>
      </w:pPr>
      <w:r>
        <w:rPr>
          <w:rFonts w:hint="default" w:ascii="Times New Roman" w:hAnsi="Times New Roman" w:eastAsia="国标黑体" w:cs="Times New Roman"/>
          <w:bCs/>
          <w:color w:val="auto"/>
          <w:sz w:val="32"/>
          <w:szCs w:val="32"/>
        </w:rPr>
        <w:t>四、“十五五”重点任务</w:t>
      </w:r>
    </w:p>
    <w:p>
      <w:pPr>
        <w:adjustRightInd w:val="0"/>
        <w:snapToGrid w:val="0"/>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（一）推动建筑领域碳排放达峰</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1.健全碳排放双控管理制度</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逐步实施以强度控制为主、总量控制为辅的建筑领域碳排放双控制度。将建筑碳排放总量和强度分析纳入项目可行性研究、建设方案、初步设计和施工图设计内容。碳排放评价有关要求纳入固定资产投资项目节能审查，并将有关审查评价意见作为固定资产投资项目开工建设以及竣工验收和运营管理的重要依据。开展碳排放常态化监控工作，推进市区两级建立碳排放预算管理制度。推动构建建筑项目碳标识认证制度。（责任部门：各区人民政府</w:t>
      </w:r>
      <w:r>
        <w:rPr>
          <w:rFonts w:hint="default" w:ascii="Times New Roman" w:hAnsi="Times New Roman" w:eastAsia="仿宋_GB2312" w:cs="Times New Roman"/>
          <w:color w:val="auto"/>
          <w:sz w:val="32"/>
          <w:szCs w:val="32"/>
        </w:rPr>
        <w:t>〈含开发区、长江新区、风景区管委会，下同〉</w:t>
      </w:r>
      <w:r>
        <w:rPr>
          <w:rFonts w:hint="default" w:ascii="Times New Roman" w:hAnsi="Times New Roman" w:eastAsia="仿宋" w:cs="Times New Roman"/>
          <w:color w:val="auto"/>
          <w:sz w:val="32"/>
          <w:szCs w:val="32"/>
        </w:rPr>
        <w:t>、市发改委、市自然资源和城乡建设局、市住房和城市更新局、市机关事务管理局、市生态环境局）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bookmarkStart w:id="65" w:name="OLE_LINK11"/>
      <w:bookmarkStart w:id="66" w:name="OLE_LINK10"/>
      <w:r>
        <w:rPr>
          <w:rFonts w:hint="default" w:ascii="Times New Roman" w:hAnsi="Times New Roman" w:eastAsia="仿宋_GB2312" w:cs="Times New Roman"/>
          <w:b/>
          <w:color w:val="auto"/>
          <w:sz w:val="32"/>
          <w:szCs w:val="32"/>
        </w:rPr>
        <w:t>2.建立碳排放评价考核体系</w:t>
      </w:r>
      <w:bookmarkEnd w:id="65"/>
      <w:bookmarkEnd w:id="66"/>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依托国家、省、市碳排核算规则、评价方法等系列标准和碳足迹因子数据库，对接建筑运维监管平台、绿色金融服务平台、绿色建材采信应用数据库等，研究制定不同建筑类型的碳排强度标准和评价标准，构建涵盖建筑规划、设计、施工、运行、拆除等环节的碳排放评价考核指标体系。巩固提升建筑领域碳排计量、统计、监测能力，综合考虑经济社会发展、区域功能定位、产业结构等因素，逐步将建筑领域碳排放管控要求纳入全市碳达峰评价考核指标。</w:t>
      </w:r>
      <w:r>
        <w:rPr>
          <w:rFonts w:hint="default" w:ascii="Times New Roman" w:hAnsi="Times New Roman" w:eastAsia="仿宋_GB2312" w:cs="Times New Roman"/>
          <w:color w:val="auto"/>
          <w:sz w:val="32"/>
          <w:szCs w:val="32"/>
        </w:rPr>
        <w:t>（责任部门：各区人民政府、市发改委、市自然资源和城乡建设局、市住房和城市更新局、市机关事务管理局、市生态环境局）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3.强化能碳数据管理和应用</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建立建筑领域能碳数据收集机制，形成不同差异化的数据采集规范。搭建与生态环境、能源、住更、工信、金融等部门的数据共享接口，打通建筑能碳数据壁垒，形成城市级建筑领域能碳数据资源池。鼓励科研机构、企业开展建筑能碳数据应用试点，率先在绿色建筑示范、智能建造试点、高品质住宅建设、公共建筑节能降碳改造等项目中开展建筑碳足迹核算，形成试点经验。</w:t>
      </w:r>
      <w:r>
        <w:rPr>
          <w:rFonts w:hint="default" w:ascii="Times New Roman" w:hAnsi="Times New Roman" w:eastAsia="仿宋_GB2312" w:cs="Times New Roman"/>
          <w:color w:val="auto"/>
          <w:sz w:val="32"/>
          <w:szCs w:val="32"/>
        </w:rPr>
        <w:t>（责任部门：市发改委、市自然资源和城乡建设局、市住房和城市更新局、市机关事务管理局、市生态环境局、市经济和信息化局）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4.开展建筑碳排放交易试点</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开展政府办公建筑、商业综合体、医院、学校等高排放建筑开展建筑碳排放交易试点，建立一套可复制、可推广的建筑碳排放交易规则与管理机制，研究制定建筑碳排放交易试点管理办法。构建多元化激励机制，对积极参与碳排放交易且超额完成减排目标的建筑项目，给予财政补贴、税收减免、绿色信贷等政策支持，充分调动市场主体减排积极性。探索适应不同区域、不同建筑类型节能降碳新路径。</w:t>
      </w:r>
      <w:bookmarkStart w:id="67" w:name="OLE_LINK109"/>
      <w:r>
        <w:rPr>
          <w:rFonts w:hint="default" w:ascii="Times New Roman" w:hAnsi="Times New Roman" w:eastAsia="仿宋_GB2312" w:cs="Times New Roman"/>
          <w:color w:val="auto"/>
          <w:sz w:val="32"/>
          <w:szCs w:val="32"/>
        </w:rPr>
        <w:t>（责任部门：市发改委、市自然资源和城乡建设局、市住房和城市更新局、市机关事务管理局、市生态环境局）</w:t>
      </w:r>
    </w:p>
    <w:bookmarkEnd w:id="67"/>
    <w:p>
      <w:pPr>
        <w:adjustRightInd w:val="0"/>
        <w:snapToGrid w:val="0"/>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（二）促进规划与建设协同融合</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1.资源规划引领绿色低碳发展</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将生态文明理念深度融入国土空间总体规划顶层设计，构建“生态优先、集约高效、品质提升”的国土空间开发保护格局，把绿色低碳发展指标嵌入国土空间布局、资源配置与用途管制全环节。系统规划推进新一轮城市有机更新，优先盘活存量建设用地资源，因地制宜分类推进建筑领域专项更新改造，打造绿色化城市更新单元。优先保障绿色建筑、自然资源利用设施建设用地，统筹建筑材料的供应与使用，强化规划引导与要素保障，实现资源高效利用与可持续发展的良性互动。</w:t>
      </w:r>
      <w:r>
        <w:rPr>
          <w:rFonts w:hint="default" w:ascii="Times New Roman" w:hAnsi="Times New Roman" w:eastAsia="仿宋_GB2312" w:cs="Times New Roman"/>
          <w:color w:val="auto"/>
          <w:sz w:val="32"/>
          <w:szCs w:val="32"/>
        </w:rPr>
        <w:t>（责任部门：市自然资源和城乡建设局）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2.城乡建设落实国土空间规划</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建立自上而下的规划传导机制，依托专项规划、建筑规划等多层级规划工具，将国土空间规划中的绿色低碳指标转化为可量化、可操作的城乡建设管控要求。建立健全“规划编制—设计转化—施工落实”的全链条闭环管理机制，强化规划传导的刚性约束与技术指引，通过标准化设计导则、施工图审查、建设过程监管等手段，确保绿色建筑、近零能耗建筑、零碳建筑、可再生能源利用等绿色化目标在建筑项目层面实现精准传导、有效衔接与高效落地。</w:t>
      </w:r>
      <w:r>
        <w:rPr>
          <w:rFonts w:hint="default" w:ascii="Times New Roman" w:hAnsi="Times New Roman" w:eastAsia="仿宋_GB2312" w:cs="Times New Roman"/>
          <w:color w:val="auto"/>
          <w:sz w:val="32"/>
          <w:szCs w:val="32"/>
        </w:rPr>
        <w:t>（责任部门：市自然资源和城乡建设局）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3.规划与建设全流程联动监管</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打破传统规划与建设管理的条块分割，建立“规划编制-项目审批-施工监管-运营评估”一体化协同机制，推进自然资源规划前期系统谋划与城乡建设实施协调统一。强化绿色建筑、装配式建筑规划、建设一体化监管，</w:t>
      </w:r>
      <w:r>
        <w:rPr>
          <w:rFonts w:hint="default" w:ascii="Times New Roman" w:hAnsi="Times New Roman" w:eastAsia="仿宋" w:cs="Times New Roman"/>
          <w:color w:val="auto"/>
          <w:sz w:val="32"/>
          <w:szCs w:val="32"/>
          <w:lang w:eastAsia="zh-CN"/>
        </w:rPr>
        <w:t>重点区域新建建筑均应按照二星级绿色建筑、装配式建筑标准规划、设计和建造</w:t>
      </w:r>
      <w:r>
        <w:rPr>
          <w:rFonts w:hint="default" w:ascii="Times New Roman" w:hAnsi="Times New Roman" w:eastAsia="仿宋" w:cs="Times New Roman"/>
          <w:color w:val="auto"/>
          <w:sz w:val="32"/>
          <w:szCs w:val="32"/>
        </w:rPr>
        <w:t>。依托国土空间基础信息平台和国土空间规划“一张图”系统，实现规划数据与建设管理数据的实时共享与业务联动，构建从国土空间规划编制到城乡建设实施的全流程闭环治理体系。</w:t>
      </w:r>
      <w:r>
        <w:rPr>
          <w:rFonts w:hint="default" w:ascii="Times New Roman" w:hAnsi="Times New Roman" w:eastAsia="仿宋_GB2312" w:cs="Times New Roman"/>
          <w:color w:val="auto"/>
          <w:sz w:val="32"/>
          <w:szCs w:val="32"/>
        </w:rPr>
        <w:t>（责任部门：市自然资源和城乡建设局、市住房和城市更新局）</w:t>
      </w:r>
    </w:p>
    <w:p>
      <w:pPr>
        <w:adjustRightInd w:val="0"/>
        <w:snapToGrid w:val="0"/>
        <w:spacing w:line="560" w:lineRule="exact"/>
        <w:ind w:firstLine="643" w:firstLineChars="200"/>
        <w:outlineLvl w:val="1"/>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（三）加强绿色建筑高质量发展</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1.落实绿色建筑管理制度</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严格执行《湖北省绿色建筑发展条例》，将绿色建筑管理要求和推进机制纳入法治化轨道，要求新建民用建筑应当按照绿色建筑基本级及以上标准建设。国有资金参与投资建设的居住建筑执行二星级及以上绿色建筑标准；其他居住建筑执行一星级及以上绿色建筑标准，其中建筑面积大于10万平方米的住宅小区建筑执行二星级及以上绿色建筑标准。国家机关办公建筑、大型公共建筑、国有资金参与投资建设的公益性建筑应按不低于绿色建筑二星级的要求建设，超高层建筑应按绿色建筑三星级的要求建设。建立监督考核机制，推进绿色建筑全寿命期的动态监管与绩效评估，将其纳入政府绩效体系。组织开展绿色建筑星级标识认定和管理工作，并将认定结果定期予以公示。</w:t>
      </w:r>
      <w:r>
        <w:rPr>
          <w:rFonts w:hint="default" w:ascii="Times New Roman" w:hAnsi="Times New Roman" w:eastAsia="仿宋_GB2312" w:cs="Times New Roman"/>
          <w:color w:val="auto"/>
          <w:sz w:val="32"/>
          <w:szCs w:val="32"/>
        </w:rPr>
        <w:t>（责任部门：各区人民政府、市自然资源和城乡建设局、市住房和城市更新局、市机关事务管理局）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2.提升新建建筑能效水平</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城镇新建民用建筑严格执行国家和省、市建筑节能标准，推行更高建筑节能标准。实施气候响应设计策略，充分利用自然通风和天然采光，</w:t>
      </w:r>
      <w:bookmarkStart w:id="68" w:name="OLE_LINK101"/>
      <w:bookmarkStart w:id="69" w:name="OLE_LINK102"/>
      <w:r>
        <w:rPr>
          <w:rFonts w:hint="default" w:ascii="Times New Roman" w:hAnsi="Times New Roman" w:eastAsia="仿宋" w:cs="Times New Roman"/>
          <w:color w:val="auto"/>
          <w:sz w:val="32"/>
          <w:szCs w:val="32"/>
        </w:rPr>
        <w:t>因地制宜增设遮阳设施，规范选用节能门窗，严格选用外墙保温系统，</w:t>
      </w:r>
      <w:bookmarkEnd w:id="68"/>
      <w:bookmarkEnd w:id="69"/>
      <w:r>
        <w:rPr>
          <w:rFonts w:hint="default" w:ascii="Times New Roman" w:hAnsi="Times New Roman" w:eastAsia="仿宋" w:cs="Times New Roman"/>
          <w:color w:val="auto"/>
          <w:sz w:val="32"/>
          <w:szCs w:val="32"/>
        </w:rPr>
        <w:t>推动超低能耗建筑规模化建设。开展近零能耗、零碳建筑试点示范，制定设计标准、验收标准和评价标准。提高建筑用能系统和设备的能效，推进高效机房技术应用与发展，加强重点用能设备运行调适，到2030年公共建筑机电系统的总体能效在现有水平上提高20%。</w:t>
      </w:r>
      <w:r>
        <w:rPr>
          <w:rFonts w:hint="default" w:ascii="Times New Roman" w:hAnsi="Times New Roman" w:eastAsia="仿宋_GB2312" w:cs="Times New Roman"/>
          <w:color w:val="auto"/>
          <w:sz w:val="32"/>
          <w:szCs w:val="32"/>
        </w:rPr>
        <w:t>（责任部门：各区人民政府、市自然资源和城乡建设局、市住房和城市更新局）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3.推动</w:t>
      </w:r>
      <w:bookmarkStart w:id="70" w:name="OLE_LINK29"/>
      <w:bookmarkStart w:id="71" w:name="OLE_LINK30"/>
      <w:bookmarkStart w:id="72" w:name="OLE_LINK31"/>
      <w:r>
        <w:rPr>
          <w:rFonts w:hint="default" w:ascii="Times New Roman" w:hAnsi="Times New Roman" w:eastAsia="仿宋_GB2312" w:cs="Times New Roman"/>
          <w:b/>
          <w:color w:val="auto"/>
          <w:sz w:val="32"/>
          <w:szCs w:val="32"/>
        </w:rPr>
        <w:t>建筑用能低碳转</w:t>
      </w:r>
      <w:bookmarkEnd w:id="70"/>
      <w:bookmarkEnd w:id="71"/>
      <w:bookmarkEnd w:id="72"/>
      <w:r>
        <w:rPr>
          <w:rFonts w:hint="default" w:ascii="Times New Roman" w:hAnsi="Times New Roman" w:eastAsia="仿宋_GB2312" w:cs="Times New Roman"/>
          <w:b/>
          <w:color w:val="auto"/>
          <w:sz w:val="32"/>
          <w:szCs w:val="32"/>
        </w:rPr>
        <w:t>型</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持续推动《关于加强可再生能源建筑应用管理的通知》的实施，引导建筑供暖、生活热水、炊事等向电气化发展。大力推广太阳能系统，推进建筑太阳能光伏一体化应用。推动宾馆、医院等生活热水需求大的新建公共建筑由可再生能源供应全部热水，新建居住建筑采用空气源热泵热水系统。新建建筑不宜独立设置燃气供热系统，应优先采用利用浅层地热能、空气能、工业余热的热泵系统。空气源热泵高效供暖或供生活热水计入可再生能源应用量，设备能效应达到节能评价值。建立可再生能源建筑应用项目的常态化监督检查机制和后评估制度，强化可再生能源建筑应用项目建设管理，引领建筑低碳高效转型。</w:t>
      </w:r>
      <w:r>
        <w:rPr>
          <w:rFonts w:hint="default" w:ascii="Times New Roman" w:hAnsi="Times New Roman" w:eastAsia="仿宋_GB2312" w:cs="Times New Roman"/>
          <w:color w:val="auto"/>
          <w:sz w:val="32"/>
          <w:szCs w:val="32"/>
        </w:rPr>
        <w:t>（责任部门：各区人民政府、市发改委、市经信局、市自然资源和城乡建设局、市住房和城市更新局、供电公司）</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4.强化建筑运行降碳管理</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强化建筑规划设计、施工建造、竣工验收、运营维护各环节管理责任与标准。推动建筑数字化智能化运行管理平台建设，推广应用高效柔性智能调控技术。建立公共建筑节能监管体系和能耗信息公示制度，开展建筑能效等级制度试点工作。科学制定能耗和碳排放限额基准，逐步推进国家机关办公建筑、大型公共建筑、国有资金参与投资建设的公益性建筑限额管理。执行公共建筑室内温度控制机制，依法开展建筑冬夏室内温度控制、用能设备和系统运行等情况检查，严肃查处违法用能行为。（责任部门：各区人民政府、市发改委、市机关事务管理局、市住房和城市更新局、市自然资源和城乡建设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5.加强建筑性能品质建设</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依据气候响应性策略，合理确定住宅朝向、窗墙比和体形系数，鼓励大开间、小进深，充分利用日照和自然通风。推行灵活可变的居住空间设计和新建住宅全装修交付使用，推行整体卫浴和厨房等模块化部品应用技术，建立健全“好房子”评价标准。加强智慧建筑产品研发，创新智慧建筑新技术，推动智慧建筑发展。推进绿色住宅使用者监督机制，严格执行在商品房买卖合同、住宅质量保证书和住宅使用说明书中载明住宅绿色性能和相关质量指标，引导购房者科学合理使用。（责任部门：各区人民政府、市自然资源和城乡建设局、市住房和城市更新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6.推动绿色低碳区域发展</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结合国土空间总体规划，以中法武汉生态示范城、东湖科学城、长江新区三大战略新城为依托，积极引导创建绿色生态城区，扩大绿色建筑区域化发展。推进二七片、汉正街、武昌滨江、青山滨江、王家墩、四新、鲁巷、杨春湖等重点功能区的高星级绿色建筑两个“百分百”建设，打造高质量绿色低碳建筑示范区。梳理、总结与推广绿色生态城建设经验，着力培育一批可复制、可推广、有特色的绿色生态城区，整体构建形成“3+8+30”的绿色低碳空间格局，全面推进绿色低碳先行城市建设。</w:t>
      </w:r>
      <w:r>
        <w:rPr>
          <w:rFonts w:hint="default" w:ascii="Times New Roman" w:hAnsi="Times New Roman" w:eastAsia="仿宋_GB2312" w:cs="Times New Roman"/>
          <w:color w:val="auto"/>
          <w:sz w:val="32"/>
          <w:szCs w:val="32"/>
        </w:rPr>
        <w:t>（责任部门：各区人民政府、市自然资源和城乡建设局、市住房和城市更新局）</w:t>
      </w:r>
    </w:p>
    <w:p>
      <w:pPr>
        <w:adjustRightInd w:val="0"/>
        <w:snapToGrid w:val="0"/>
        <w:spacing w:line="560" w:lineRule="exact"/>
        <w:ind w:firstLine="643" w:firstLineChars="200"/>
        <w:outlineLvl w:val="1"/>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（四）</w:t>
      </w:r>
      <w:bookmarkStart w:id="73" w:name="OLE_LINK3"/>
      <w:bookmarkStart w:id="74" w:name="OLE_LINK4"/>
      <w:bookmarkStart w:id="75" w:name="OLE_LINK28"/>
      <w:bookmarkStart w:id="76" w:name="OLE_LINK26"/>
      <w:bookmarkStart w:id="77" w:name="OLE_LINK25"/>
      <w:bookmarkStart w:id="78" w:name="OLE_LINK27"/>
      <w:bookmarkStart w:id="79" w:name="OLE_LINK22"/>
      <w:bookmarkStart w:id="80" w:name="OLE_LINK21"/>
      <w:r>
        <w:rPr>
          <w:rFonts w:hint="default" w:ascii="Times New Roman" w:hAnsi="Times New Roman" w:eastAsia="仿宋_GB2312" w:cs="Times New Roman"/>
          <w:b/>
          <w:color w:val="auto"/>
          <w:sz w:val="32"/>
          <w:szCs w:val="32"/>
        </w:rPr>
        <w:t>推进</w:t>
      </w:r>
      <w:bookmarkEnd w:id="73"/>
      <w:bookmarkEnd w:id="74"/>
      <w:r>
        <w:rPr>
          <w:rFonts w:hint="default" w:ascii="Times New Roman" w:hAnsi="Times New Roman" w:eastAsia="仿宋_GB2312" w:cs="Times New Roman"/>
          <w:b/>
          <w:color w:val="auto"/>
          <w:sz w:val="32"/>
          <w:szCs w:val="32"/>
        </w:rPr>
        <w:t>城市更新品质再提升</w:t>
      </w:r>
      <w:bookmarkEnd w:id="75"/>
      <w:bookmarkEnd w:id="76"/>
      <w:bookmarkEnd w:id="77"/>
      <w:bookmarkEnd w:id="78"/>
      <w:bookmarkEnd w:id="79"/>
      <w:bookmarkEnd w:id="80"/>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w:t>
      </w:r>
      <w:bookmarkStart w:id="81" w:name="OLE_LINK7"/>
      <w:bookmarkStart w:id="82" w:name="OLE_LINK5"/>
      <w:bookmarkStart w:id="83" w:name="OLE_LINK6"/>
      <w:r>
        <w:rPr>
          <w:rFonts w:hint="default" w:ascii="Times New Roman" w:hAnsi="Times New Roman" w:eastAsia="仿宋_GB2312" w:cs="Times New Roman"/>
          <w:b/>
          <w:color w:val="auto"/>
          <w:sz w:val="32"/>
          <w:szCs w:val="32"/>
        </w:rPr>
        <w:t>推动城市存量提质增效</w:t>
      </w:r>
      <w:bookmarkEnd w:id="81"/>
      <w:bookmarkEnd w:id="82"/>
      <w:bookmarkEnd w:id="83"/>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聚焦高耗能公共建筑、老旧小区等重点对象，依据区域政策支持、改造需求等条件，合理确定既有建筑节能改造技术路径。结合</w:t>
      </w:r>
      <w:bookmarkStart w:id="84" w:name="OLE_LINK61"/>
      <w:r>
        <w:rPr>
          <w:rFonts w:hint="default" w:ascii="Times New Roman" w:hAnsi="Times New Roman" w:eastAsia="仿宋" w:cs="Times New Roman"/>
          <w:color w:val="auto"/>
          <w:sz w:val="32"/>
          <w:szCs w:val="32"/>
        </w:rPr>
        <w:t>汉口原租界地区、武昌旧城地区和汉阳龟北片</w:t>
      </w:r>
      <w:bookmarkEnd w:id="84"/>
      <w:r>
        <w:rPr>
          <w:rFonts w:hint="default" w:ascii="Times New Roman" w:hAnsi="Times New Roman" w:eastAsia="仿宋" w:cs="Times New Roman"/>
          <w:color w:val="auto"/>
          <w:sz w:val="32"/>
          <w:szCs w:val="32"/>
        </w:rPr>
        <w:t>地区等城市品质提升，开展绿色化节能改造，打造绿色更新示范区，实现老旧城区的可持续、韧性发展。选择省住建厅办公楼改造等具有代表性的既有建筑，开展节能改造项目示范，并总结推广成功模式，推动更大范围的节能改造工作。</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2.创新工作推进体制机制</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建立住更部门牵头，资建、财政、街道、社区联动的工作机制，明确职责分工，简化节能改造项目审批流程，推行“一站式”服务。积极协同“两重两新”和“节能降碳”专项资金政策，申请中央预算内资金、超长期国债、绿色金融贷款等资金支持。重点推进公共建筑、老旧小区节能改造，对达标项目给予产权单位税收减免，对高能耗建筑提高收费倒逼整改。老旧小区探索“财政补贴+业主分摊”降低负担。推动“改造+运营”一体化，将节能运维纳入社区物业服务内容，通过“定期巡检+居民监督”确保改造效果长期稳定。</w:t>
      </w:r>
      <w:r>
        <w:rPr>
          <w:rFonts w:hint="default" w:ascii="Times New Roman" w:hAnsi="Times New Roman" w:eastAsia="仿宋_GB2312" w:cs="Times New Roman"/>
          <w:color w:val="auto"/>
          <w:sz w:val="32"/>
          <w:szCs w:val="32"/>
        </w:rPr>
        <w:t>（责任部门：各区人民政府、市发改委、市住房和城市更新局、市机关事务管理局）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3.优化既有建筑改造路径</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组织实施建筑能效诊断，开展既有建筑摸底调查，建立城市建筑节能降碳改造数据库和项目储备库，制定区级既有建筑年度改造计划。结合城镇老旧小区改造、智慧小区建设、城市更新等工作，重点对建筑平屋面及门窗、外墙保温等进行改造。发挥公共机构示范引领作用，以推动大规模设备更新和消费品以旧换新为契机，重点改造暖通空调和电气系统等用能设备，采用热泵系统替换传统设备。推广“物联网+节能降碳”新模式，分批分类有序推进城区建筑开展轻量化、数智化节能改造。改造后的居住建筑、公共建筑节能率应分别提高30%、20%。</w:t>
      </w:r>
      <w:r>
        <w:rPr>
          <w:rFonts w:hint="default" w:ascii="Times New Roman" w:hAnsi="Times New Roman" w:eastAsia="仿宋_GB2312" w:cs="Times New Roman"/>
          <w:color w:val="auto"/>
          <w:sz w:val="32"/>
          <w:szCs w:val="32"/>
        </w:rPr>
        <w:t>（责任部门：市住房和城市更新局、市自然资源和城乡建设局）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4.构建</w:t>
      </w:r>
      <w:bookmarkStart w:id="85" w:name="OLE_LINK15"/>
      <w:bookmarkStart w:id="86" w:name="OLE_LINK20"/>
      <w:r>
        <w:rPr>
          <w:rFonts w:hint="default" w:ascii="Times New Roman" w:hAnsi="Times New Roman" w:eastAsia="仿宋_GB2312" w:cs="Times New Roman"/>
          <w:b/>
          <w:color w:val="auto"/>
          <w:sz w:val="32"/>
          <w:szCs w:val="32"/>
        </w:rPr>
        <w:t>既有建筑</w:t>
      </w:r>
      <w:bookmarkEnd w:id="85"/>
      <w:bookmarkEnd w:id="86"/>
      <w:r>
        <w:rPr>
          <w:rFonts w:hint="default" w:ascii="Times New Roman" w:hAnsi="Times New Roman" w:eastAsia="仿宋_GB2312" w:cs="Times New Roman"/>
          <w:b/>
          <w:color w:val="auto"/>
          <w:sz w:val="32"/>
          <w:szCs w:val="32"/>
        </w:rPr>
        <w:t>治理平台</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推广合同能源管理、能源费用托管等模式，支持节能服务公司为建筑业主提供诊断、融资、改造及运营的全链条服务，通过项目库扶持与示范评选提升市场参与度。搭建线上线下融合的交易平台，整合项目需求、企业资源与技术产品，联动金融机构提供绿色信贷、融资租赁等多元融资渠道。推动建筑改造节能量与碳排放权交易市场有效衔接，促使建筑主体通过节能改造获利或履约。</w:t>
      </w:r>
      <w:r>
        <w:rPr>
          <w:rFonts w:hint="default" w:ascii="Times New Roman" w:hAnsi="Times New Roman" w:eastAsia="仿宋_GB2312" w:cs="Times New Roman"/>
          <w:color w:val="auto"/>
          <w:sz w:val="32"/>
          <w:szCs w:val="32"/>
        </w:rPr>
        <w:t>（责任部门：各区人民政府、市发改委、市住房和城市更新局、市机关事务管理局）</w:t>
      </w:r>
    </w:p>
    <w:p>
      <w:pPr>
        <w:adjustRightInd w:val="0"/>
        <w:snapToGrid w:val="0"/>
        <w:spacing w:line="560" w:lineRule="exact"/>
        <w:ind w:firstLine="643" w:firstLineChars="200"/>
        <w:outlineLvl w:val="1"/>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（五）</w:t>
      </w:r>
      <w:bookmarkStart w:id="87" w:name="OLE_LINK23"/>
      <w:bookmarkStart w:id="88" w:name="OLE_LINK24"/>
      <w:r>
        <w:rPr>
          <w:rFonts w:hint="default" w:ascii="Times New Roman" w:hAnsi="Times New Roman" w:eastAsia="仿宋_GB2312" w:cs="Times New Roman"/>
          <w:b/>
          <w:color w:val="auto"/>
          <w:sz w:val="32"/>
          <w:szCs w:val="32"/>
        </w:rPr>
        <w:t>推行绿色化新型建造方式</w:t>
      </w:r>
      <w:bookmarkEnd w:id="87"/>
      <w:bookmarkEnd w:id="88"/>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1.发展装配式建筑</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着力推广装配式建筑，重点区域符合条件的新建建筑，其它区域独立成栋的保障性住房、政府和国有企业投资项目、规划总建筑面积6万平方米及以上的新建商品住房项目均应按照装配式建筑标准进行规划、设计和建造。公共机构、大型公共建筑及工业建筑应优先采用钢结构。支持现有装配式生产基地实施装备改造升级，推进工厂智能化转型。提高预制构件和部品部件通用性，推广标准化、少规格、多组合设计，推广模块化建筑和装配化装修。定时发布PC构件综合信息和价格，为行业提供价格参考，引导企业合理定价，推动装配式建筑产业健康有序发展。（责任部门：各区人民政府、市自然资源和城乡建设局、市住房和城市更新局、市经信局、市机关事务管理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2.推广智能建造</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支持行业骨干企业构建建筑产业互联网平台。加强技术融合发展，</w:t>
      </w:r>
      <w:bookmarkStart w:id="89" w:name="OLE_LINK54"/>
      <w:bookmarkStart w:id="90" w:name="OLE_LINK57"/>
      <w:r>
        <w:rPr>
          <w:rFonts w:hint="default" w:ascii="Times New Roman" w:hAnsi="Times New Roman" w:eastAsia="仿宋" w:cs="Times New Roman"/>
          <w:color w:val="auto"/>
          <w:sz w:val="32"/>
          <w:szCs w:val="32"/>
        </w:rPr>
        <w:t>以智慧工地迭代升级、智能建造技术和装备集成应用为着力点，</w:t>
      </w:r>
      <w:bookmarkEnd w:id="89"/>
      <w:bookmarkEnd w:id="90"/>
      <w:r>
        <w:rPr>
          <w:rFonts w:hint="default" w:ascii="Times New Roman" w:hAnsi="Times New Roman" w:eastAsia="仿宋" w:cs="Times New Roman"/>
          <w:color w:val="auto"/>
          <w:sz w:val="32"/>
          <w:szCs w:val="32"/>
        </w:rPr>
        <w:t>推动物联网、智能建造、人工智能、区块链等新一代信息技术与工程建造技术深度融合。重点推动造楼机、智能塔吊等装备迭代升级，加速建筑机器人、无人运输系统等在项目中的规模化应用。依托“链长+链主+链创”机制，推进智能建造产业园布局，通集聚上下游企业，搭建供需对接平台。建立智能建造项目评价机制,完善智能建造标准体系，推动智能建造成果标准化。</w:t>
      </w:r>
      <w:r>
        <w:rPr>
          <w:rFonts w:hint="default" w:ascii="Times New Roman" w:hAnsi="Times New Roman" w:eastAsia="仿宋_GB2312" w:cs="Times New Roman"/>
          <w:color w:val="auto"/>
          <w:sz w:val="32"/>
          <w:szCs w:val="32"/>
        </w:rPr>
        <w:t>（责任部门：各区人民政府、市自然资源和城乡建设局、市住房和城市更新局、市经信局、市机关事务管理局）</w:t>
      </w:r>
    </w:p>
    <w:p>
      <w:pPr>
        <w:adjustRightInd w:val="0"/>
        <w:snapToGrid w:val="0"/>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3.推动绿色施工</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建立绿色施工协调机制，健全绿色施工管理体系和制度，改进施工工艺，实现节能、节材、节水、节地和环境保护。推广建筑材料工厂化精准加工、精细化管理，到2030施工现场建筑材料损耗率比2020年下降20%。加强施工现场建筑垃圾管控，到2030年新建建筑施工现场建筑垃圾排放量不高于300吨/万平方米。积极推广节能型施工设备，监控重点设备耗能，对多台同类设备实施群控管理。</w:t>
      </w:r>
      <w:r>
        <w:rPr>
          <w:rFonts w:hint="default" w:ascii="Times New Roman" w:hAnsi="Times New Roman" w:eastAsia="仿宋_GB2312" w:cs="Times New Roman"/>
          <w:color w:val="auto"/>
          <w:sz w:val="32"/>
          <w:szCs w:val="32"/>
        </w:rPr>
        <w:t>（责任部门：各区人民政府、市自然资源和城乡建设局、市住房和城市更新局、市经信局、市城管执法委）</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4.强化BIM技术应用</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 w:cs="Times New Roman"/>
          <w:color w:val="auto"/>
          <w:sz w:val="32"/>
          <w:szCs w:val="32"/>
        </w:rPr>
        <w:t>推进BIM技术在项目工程勘察设计、图纸审查、数字化成果交付等环节的应用。推进正向设计、协同设计及部品部件库的建设。建立适合BIM技术应用的工程管理模式，推动BIM技术从重点项目向全域延伸，升级现有BIM管理平台为涵盖“规建管运”的一体化枢纽，确保各环节BIM成果可复用、可追溯，为建筑行业“数字产业化”提供基本信息。</w:t>
      </w:r>
      <w:r>
        <w:rPr>
          <w:rFonts w:hint="default" w:ascii="Times New Roman" w:hAnsi="Times New Roman" w:eastAsia="仿宋_GB2312" w:cs="Times New Roman"/>
          <w:color w:val="auto"/>
          <w:sz w:val="32"/>
          <w:szCs w:val="32"/>
        </w:rPr>
        <w:t>（责任部门：市自然资源和城乡建设局、市住房和城市更新局）</w:t>
      </w:r>
    </w:p>
    <w:p>
      <w:pPr>
        <w:adjustRightInd w:val="0"/>
        <w:snapToGrid w:val="0"/>
        <w:spacing w:line="560" w:lineRule="exact"/>
        <w:ind w:firstLine="643" w:firstLineChars="200"/>
        <w:outlineLvl w:val="1"/>
        <w:rPr>
          <w:rFonts w:hint="default" w:ascii="Times New Roman" w:hAnsi="Times New Roman" w:eastAsia="仿宋_GB2312" w:cs="Times New Roman"/>
          <w:bCs/>
          <w:color w:val="auto"/>
          <w:sz w:val="32"/>
          <w:szCs w:val="32"/>
        </w:rPr>
      </w:pPr>
      <w:bookmarkStart w:id="91" w:name="OLE_LINK60"/>
      <w:bookmarkStart w:id="92" w:name="OLE_LINK59"/>
      <w:bookmarkStart w:id="93" w:name="OLE_LINK74"/>
      <w:bookmarkStart w:id="94" w:name="OLE_LINK73"/>
      <w:r>
        <w:rPr>
          <w:rFonts w:hint="default" w:ascii="Times New Roman" w:hAnsi="Times New Roman" w:eastAsia="仿宋_GB2312" w:cs="Times New Roman"/>
          <w:b/>
          <w:color w:val="auto"/>
          <w:sz w:val="32"/>
          <w:szCs w:val="32"/>
        </w:rPr>
        <w:t>（六）推广绿色建材规模化应用</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1.加强绿色建材应用管理</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推行“政策刚性约束+服务精准赋能”双措并举，强化绿色建材应用全链条管控。发挥政府采购引领作用，大力推广绿色建材，纳入政府采购支持绿色建材促进建筑品质提升政策实施范围的工程、星级绿色建筑全面推广绿色建材。加快推进绿色建材产品认证，搭建市级绿色建材采信应用数据库，</w:t>
      </w:r>
      <w:bookmarkStart w:id="95" w:name="OLE_LINK66"/>
      <w:bookmarkStart w:id="96" w:name="OLE_LINK67"/>
      <w:r>
        <w:rPr>
          <w:rFonts w:hint="default" w:ascii="Times New Roman" w:hAnsi="Times New Roman" w:eastAsia="仿宋" w:cs="Times New Roman"/>
          <w:color w:val="auto"/>
          <w:sz w:val="32"/>
          <w:szCs w:val="32"/>
        </w:rPr>
        <w:t>面向市场主体开放查询。</w:t>
      </w:r>
      <w:bookmarkEnd w:id="95"/>
      <w:bookmarkEnd w:id="96"/>
      <w:r>
        <w:rPr>
          <w:rFonts w:hint="default" w:ascii="Times New Roman" w:hAnsi="Times New Roman" w:eastAsia="仿宋" w:cs="Times New Roman"/>
          <w:color w:val="auto"/>
          <w:sz w:val="32"/>
          <w:szCs w:val="32"/>
        </w:rPr>
        <w:t>组织绿色建材下乡活动，通过“线上展示+线下对接”模式，引导建材生产企业与乡镇建设项目精准对接，打通绿色建材下沉应用“最后一公里”。</w:t>
      </w:r>
      <w:r>
        <w:rPr>
          <w:rFonts w:hint="default" w:ascii="Times New Roman" w:hAnsi="Times New Roman" w:eastAsia="仿宋_GB2312" w:cs="Times New Roman"/>
          <w:color w:val="auto"/>
          <w:sz w:val="32"/>
          <w:szCs w:val="32"/>
        </w:rPr>
        <w:t xml:space="preserve"> （责任部门：各区人民政府、市自然资源和城乡建设局、市住房和城市更新局、市经信局）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2.强化绿色建材工程应用</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聚焦“源头把控+过程监管+目标考核”，推动绿色建材在工程建设中深度应用。设计环节严格落实“绿色建材应用专篇”制度，设计文件中明确绿色建材的品种、规格、数量及应用部位，且须经施工图审查机构专项审核。施工环节建立绿色建材进场验收台账制度，监督施工单位按设计要求查验产品认证文件并委托第三方检测机构抽样检测</w:t>
      </w:r>
      <w:bookmarkStart w:id="97" w:name="OLE_LINK124"/>
      <w:bookmarkStart w:id="98" w:name="OLE_LINK123"/>
      <w:r>
        <w:rPr>
          <w:rFonts w:hint="default" w:ascii="Times New Roman" w:hAnsi="Times New Roman" w:eastAsia="仿宋" w:cs="Times New Roman"/>
          <w:color w:val="auto"/>
          <w:sz w:val="32"/>
          <w:szCs w:val="32"/>
        </w:rPr>
        <w:t>验收环节，对项目绿色建材应用情况进行检查、核实</w:t>
      </w:r>
      <w:bookmarkEnd w:id="97"/>
      <w:bookmarkEnd w:id="98"/>
      <w:r>
        <w:rPr>
          <w:rFonts w:hint="default" w:ascii="Times New Roman" w:hAnsi="Times New Roman" w:eastAsia="仿宋" w:cs="Times New Roman"/>
          <w:color w:val="auto"/>
          <w:sz w:val="32"/>
          <w:szCs w:val="32"/>
        </w:rPr>
        <w:t>。将绿色建材应用比例纳入工程质量评价核心指标，与项目评优、企业信用评价直接挂钩，形成闭环管理。</w:t>
      </w:r>
      <w:r>
        <w:rPr>
          <w:rFonts w:hint="default" w:ascii="Times New Roman" w:hAnsi="Times New Roman" w:eastAsia="仿宋_GB2312" w:cs="Times New Roman"/>
          <w:color w:val="auto"/>
          <w:sz w:val="32"/>
          <w:szCs w:val="32"/>
        </w:rPr>
        <w:t>（责任部门：各区人民政府、市自然资源和城乡建设局、市住房和城市更新局）</w:t>
      </w:r>
    </w:p>
    <w:bookmarkEnd w:id="91"/>
    <w:bookmarkEnd w:id="92"/>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3.推进绿色建材产业布局</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聚焦绿色建材产业链，构建从原材料供应、产品生产到应用服务的全链条体系，围绕重点发展区域，合理规划绿色建材产业布局。以产业园区为载体，吸引上下游企业、科研机构、检测认证单位及物流企业集聚，形成资源共享、优势互补的产业集群生态。加大研发投入，鼓励企业与科研机构合作，推动技术创新与成果转化，突破绿色建材生产的关键技术瓶颈，提升产品性能。建立产品标准和质量监管机制，淘汰落后产能，引导企业进行绿色技术改造与产能升级。</w:t>
      </w:r>
      <w:r>
        <w:rPr>
          <w:rFonts w:hint="default" w:ascii="Times New Roman" w:hAnsi="Times New Roman" w:eastAsia="仿宋_GB2312" w:cs="Times New Roman"/>
          <w:color w:val="auto"/>
          <w:sz w:val="32"/>
          <w:szCs w:val="32"/>
        </w:rPr>
        <w:t>（责任部门：各区人民政府、市自然资源和城乡建设局、市住房和城市更新局、市经信局）</w:t>
      </w:r>
    </w:p>
    <w:p>
      <w:pPr>
        <w:adjustRightInd w:val="0"/>
        <w:snapToGrid w:val="0"/>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4.推广再生建材循环利用</w:t>
      </w:r>
    </w:p>
    <w:p>
      <w:pPr>
        <w:adjustRightInd w:val="0"/>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优先在城市更新、老旧小区改造、海绵城市建设、传统建筑风貌复刻等领域推广再生透水砖、再生混凝土、再生砂浆、再生保温板、再生砖等产品，在装配式建筑预制构件中探索再生材料替代方案，推动再生材料与预制构件深度融合。制定再生材料应用技术导则，明确配比标准与质量验收要求，依托重点场景项目打造示范案例，逐步形成“场景需求—材料适配—标准支撑”的闭环，推动再生材料从“可用”向“好用、常用”转变。</w:t>
      </w:r>
      <w:bookmarkEnd w:id="93"/>
      <w:bookmarkEnd w:id="94"/>
      <w:r>
        <w:rPr>
          <w:rFonts w:hint="default" w:ascii="Times New Roman" w:hAnsi="Times New Roman" w:eastAsia="仿宋_GB2312" w:cs="Times New Roman"/>
          <w:color w:val="auto"/>
          <w:sz w:val="32"/>
          <w:szCs w:val="32"/>
        </w:rPr>
        <w:t>（责任部门：各区人民政府、市自然资源和城乡建设局、市住房和城市更新局、市经信局）</w:t>
      </w:r>
    </w:p>
    <w:p>
      <w:pPr>
        <w:adjustRightInd w:val="0"/>
        <w:snapToGrid w:val="0"/>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（七）强化科技与产业服务引领</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1.加强科技产业协同创新</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构建以市场为导向、企业为主体、产学研用深度融合的技术创新体系，到2030年，</w:t>
      </w:r>
      <w:r>
        <w:rPr>
          <w:rFonts w:hint="default" w:ascii="Times New Roman" w:hAnsi="Times New Roman" w:eastAsia="仿宋" w:cs="Times New Roman"/>
          <w:color w:val="auto"/>
          <w:sz w:val="32"/>
          <w:szCs w:val="32"/>
          <w:lang w:bidi="ar"/>
        </w:rPr>
        <w:t>建设不少于10个省级以上的绿色低碳科技创新平台</w:t>
      </w:r>
      <w:r>
        <w:rPr>
          <w:rFonts w:hint="default" w:ascii="Times New Roman" w:hAnsi="Times New Roman" w:eastAsia="仿宋_GB2312" w:cs="Times New Roman"/>
          <w:bCs/>
          <w:color w:val="auto"/>
          <w:sz w:val="32"/>
          <w:szCs w:val="32"/>
        </w:rPr>
        <w:t>。搭建共性技术研发平台，推动BIM、人工智能、物联网等数字技术在绿色建筑全寿命期的集成应用，提升设计仿真、智能施工和智慧运维水平。（责任部门：市发改委、市科创局、市自然资源和城乡建设局、市住房和城市更新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2.推动低碳技术研发应用</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建立产业创新联盟，联合高校、科研院所、设计单位、施工企业和建材厂商，围绕近零能耗建筑、零碳建筑、健康建筑、新型绿色建材、智能建造、智慧运维等关键领域开展联合技术攻关，突破技术瓶颈。完善科技成果转化机制，通过示范工程应用、技术成果推广目录等方式，加速创新技术的标准化和产业化。强化政策引导，鼓励企业加大研发投入，形成“技术研发-工程示范-产业推广”的良性循环生态。</w:t>
      </w:r>
      <w:r>
        <w:rPr>
          <w:rFonts w:hint="default" w:ascii="Times New Roman" w:hAnsi="Times New Roman" w:eastAsia="仿宋_GB2312" w:cs="Times New Roman"/>
          <w:color w:val="auto"/>
          <w:sz w:val="32"/>
          <w:szCs w:val="32"/>
        </w:rPr>
        <w:t>（责任部门：市发改委、市科创局、市自然资源和城乡建设局、市住房和城市更新局、市经信局）</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3.增强产业服务引导支撑</w:t>
      </w:r>
    </w:p>
    <w:p>
      <w:p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构建多层次、系统化的绿色建筑发展政策与市场协同机制。在年度专项预算中统筹资金，鼓励和扶持促进绿色建筑发展的工作。对高性能项目给予容积率奖励、专项资金补贴、绿色信贷贴息等支持，降低绿色增量成本。支持符合条件的绿色建筑类企业申报高新技术企业。绿色建筑标识项目、A级及以上装配式建筑、近零能耗建筑、零碳建筑优先纳入国家和省、市优质工程推荐评选范围。搭建产业公共服务平台，提供技术咨询、产能对接、人才培养等服务，解决中小企业技术与管理瓶颈。强化示范引领与宣传推广，提升社会认知度与市场驱动力。</w:t>
      </w:r>
      <w:r>
        <w:rPr>
          <w:rFonts w:hint="default" w:ascii="Times New Roman" w:hAnsi="Times New Roman" w:eastAsia="仿宋_GB2312" w:cs="Times New Roman"/>
          <w:color w:val="auto"/>
          <w:sz w:val="32"/>
          <w:szCs w:val="32"/>
        </w:rPr>
        <w:t>（责任部门：市发改委、市自然资源和城乡建设局、市住房和城市更新局、市经信局）</w:t>
      </w:r>
    </w:p>
    <w:p>
      <w:pPr>
        <w:spacing w:line="560" w:lineRule="exact"/>
        <w:ind w:firstLine="640" w:firstLineChars="200"/>
        <w:outlineLvl w:val="0"/>
        <w:rPr>
          <w:rFonts w:hint="default" w:ascii="Times New Roman" w:hAnsi="Times New Roman" w:eastAsia="国标黑体" w:cs="Times New Roman"/>
          <w:bCs/>
          <w:color w:val="auto"/>
          <w:sz w:val="32"/>
          <w:szCs w:val="32"/>
        </w:rPr>
      </w:pPr>
      <w:r>
        <w:rPr>
          <w:rFonts w:hint="default" w:ascii="Times New Roman" w:hAnsi="Times New Roman" w:eastAsia="国标黑体" w:cs="Times New Roman"/>
          <w:bCs/>
          <w:color w:val="auto"/>
          <w:sz w:val="32"/>
          <w:szCs w:val="32"/>
        </w:rPr>
        <w:t>五、保障措施</w:t>
      </w:r>
    </w:p>
    <w:p>
      <w:pPr>
        <w:adjustRightInd w:val="0"/>
        <w:snapToGrid w:val="0"/>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（一）加强组织领导，落实目标责任</w:t>
      </w:r>
    </w:p>
    <w:p>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 w:cs="Times New Roman"/>
          <w:color w:val="auto"/>
          <w:sz w:val="32"/>
          <w:szCs w:val="32"/>
        </w:rPr>
        <w:t>坚持系统化思维，加强前瞻性思考，注重全局性谋划，结合市委、市政府碳达峰行动方案，将碳达峰目标要求纳入住房城乡建设领域整体布局和重要议事日程，加强全市统一组织领导，建立部门协调联动机制，明确市、区发展改革、财政、城乡建设、房管、自然资源规划、机关事务管理、环境、水务、科技等相关职能管理部门的目标任务和责任分工，建立目标责任制和考核评价机制，定期对规划实施情况进行监督检查，确保规划目标任务顺利落实。</w:t>
      </w:r>
    </w:p>
    <w:p>
      <w:pPr>
        <w:adjustRightInd w:val="0"/>
        <w:snapToGrid w:val="0"/>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（二）健全政策制度，加强资金保障</w:t>
      </w:r>
    </w:p>
    <w:p>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 w:cs="Times New Roman"/>
          <w:color w:val="auto"/>
          <w:sz w:val="32"/>
          <w:szCs w:val="32"/>
        </w:rPr>
        <w:t>加快完善建筑绿色低碳发展相关法规政策体系，进一步强化建筑节能设计审查和建筑节能工程现场质量监督。联合发改、住更、工信、财政、金融等部门制定支持绿色建筑发展的财政、税收、金融等优惠政策，设立绿色建筑发展专项资金，对绿色建筑项目、可再生能源应用、既有建筑改造等给予补贴或奖励。同时，探索建立绿色建筑保险制度，降低项目实施风险。</w:t>
      </w:r>
    </w:p>
    <w:p>
      <w:pPr>
        <w:adjustRightInd w:val="0"/>
        <w:snapToGrid w:val="0"/>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（三）完善标准体系，强化标准实施</w:t>
      </w:r>
    </w:p>
    <w:p>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 w:cs="Times New Roman"/>
          <w:color w:val="auto"/>
          <w:sz w:val="32"/>
          <w:szCs w:val="32"/>
        </w:rPr>
        <w:t>建立健全建筑绿色低碳标准体系，制定涵盖规划、设计、建造、运营全过程的绿色建筑技术标准和评价标准。支持高校、科研机构和企业开展建筑绿色低碳发展关键技术研究，推动建筑节能、装配式建筑、可再生能源应用、绿色建材等领域的技术自主创新。建立绿色建筑技术推广平台，定期发布先进适用技术目录，促进技术成果转化应用。</w:t>
      </w:r>
    </w:p>
    <w:p>
      <w:pPr>
        <w:adjustRightInd w:val="0"/>
        <w:snapToGrid w:val="0"/>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（四）创新市场运作，提升质量监管</w:t>
      </w:r>
    </w:p>
    <w:p>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 w:cs="Times New Roman"/>
          <w:color w:val="auto"/>
          <w:sz w:val="32"/>
          <w:szCs w:val="32"/>
        </w:rPr>
        <w:t>探索多元化市场运作模式，鼓励社会资本参与绿色建筑项目投资和运营，推动绿色建筑与金融资本的深度融合。完善建筑市场信用评价体系，加强对绿色建筑项目设计、施工、监理等全过程质量监管，确保项目质量和效益。同时，推动绿色建筑第三方认证和标识评价，提升市场认可度和公信力。</w:t>
      </w:r>
    </w:p>
    <w:p>
      <w:pPr>
        <w:adjustRightInd w:val="0"/>
        <w:snapToGrid w:val="0"/>
        <w:spacing w:line="560" w:lineRule="exact"/>
        <w:ind w:firstLine="643" w:firstLineChars="200"/>
        <w:outlineLvl w:val="1"/>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（五）加强宣传培训，倡导全民参与</w:t>
      </w:r>
    </w:p>
    <w:p>
      <w:pPr>
        <w:spacing w:line="560" w:lineRule="exact"/>
        <w:ind w:firstLine="640"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2"/>
          <w:szCs w:val="32"/>
        </w:rPr>
        <w:t>通过新闻媒体、网络平台等多种渠道，广泛宣传绿色建筑发展理念和实践成果，及时报道先进经验做法，提高公众对绿色建筑的认知度和参与度。组织协调各方面力量共同参与绿色建筑建设，通过多种途径积极展示武汉市绿色建筑、装配式建筑、可再生能源应用、既有建筑与老旧小区绿色改造的建设成果。鼓励社区、学校、企事业单位等开展绿色建筑试点示范，倡导全民参与绿色建筑建设，形成全社会共同推动绿色建筑发展的良好氛围。</w:t>
      </w:r>
    </w:p>
    <w:p>
      <w:pPr>
        <w:spacing w:line="560" w:lineRule="exact"/>
        <w:rPr>
          <w:rFonts w:hint="default" w:ascii="Times New Roman" w:hAnsi="Times New Roman" w:eastAsia="仿宋" w:cs="Times New Roman"/>
          <w:color w:val="auto"/>
          <w:sz w:val="30"/>
          <w:szCs w:val="30"/>
        </w:rPr>
        <w:sectPr>
          <w:footerReference r:id="rId6" w:type="default"/>
          <w:pgSz w:w="11906" w:h="16838"/>
          <w:pgMar w:top="1440" w:right="1800" w:bottom="1440" w:left="1800" w:header="851" w:footer="992" w:gutter="0"/>
          <w:pgNumType w:start="1"/>
          <w:cols w:space="425" w:num="1"/>
          <w:docGrid w:type="lines" w:linePitch="312" w:charSpace="0"/>
        </w:sectPr>
      </w:pPr>
    </w:p>
    <w:p>
      <w:pPr>
        <w:pStyle w:val="2"/>
        <w:rPr>
          <w:rFonts w:hint="default" w:ascii="Times New Roman" w:hAnsi="Times New Roman" w:cs="Times New Roman"/>
          <w:color w:val="auto"/>
        </w:rPr>
      </w:pPr>
      <w:bookmarkStart w:id="99" w:name="_GoBack"/>
      <w:bookmarkEnd w:id="99"/>
      <w:r>
        <w:rPr>
          <w:rFonts w:hint="default" w:ascii="Times New Roman" w:hAnsi="Times New Roman" w:cs="Times New Roman"/>
          <w:color w:val="auto"/>
        </w:rPr>
        <w:drawing>
          <wp:inline distT="0" distB="0" distL="0" distR="0">
            <wp:extent cx="5274310" cy="7334885"/>
            <wp:effectExtent l="0" t="0" r="2540" b="0"/>
            <wp:docPr id="4" name="图片 4" descr="C:\Users\yuzy\AppData\Roaming\DingTalk\110310903_v2\resource_cache\df\dfa47478530197d1a395b530f4346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yuzy\AppData\Roaming\DingTalk\110310903_v2\resource_cache\df\dfa47478530197d1a395b530f4346094.jpg"/>
                    <pic:cNvPicPr>
                      <a:picLocks noChangeAspect="1" noChangeArrowheads="1"/>
                    </pic:cNvPicPr>
                  </pic:nvPicPr>
                  <pic:blipFill>
                    <a:blip r:embed="rId8"/>
                    <a:srcRect/>
                    <a:stretch>
                      <a:fillRect/>
                    </a:stretch>
                  </pic:blipFill>
                  <pic:spPr>
                    <a:xfrm>
                      <a:off x="0" y="0"/>
                      <a:ext cx="5274310" cy="7335308"/>
                    </a:xfrm>
                    <a:prstGeom prst="rect">
                      <a:avLst/>
                    </a:prstGeom>
                    <a:noFill/>
                    <a:ln>
                      <a:noFill/>
                    </a:ln>
                  </pic:spPr>
                </pic:pic>
              </a:graphicData>
            </a:graphic>
          </wp:inline>
        </w:drawing>
      </w:r>
    </w:p>
    <w:p>
      <w:pPr>
        <w:pStyle w:val="2"/>
        <w:rPr>
          <w:rFonts w:hint="default" w:ascii="Times New Roman" w:hAnsi="Times New Roman" w:cs="Times New Roman"/>
          <w:color w:val="auto"/>
        </w:rPr>
      </w:pPr>
      <w:r>
        <w:rPr>
          <w:rFonts w:hint="default" w:ascii="Times New Roman" w:hAnsi="Times New Roman" w:cs="Times New Roman"/>
          <w:color w:val="auto"/>
        </w:rPr>
        <w:drawing>
          <wp:inline distT="0" distB="0" distL="0" distR="0">
            <wp:extent cx="5351145" cy="7442200"/>
            <wp:effectExtent l="0" t="0" r="1905" b="6350"/>
            <wp:docPr id="5" name="图片 5" descr="C:\Users\yuzy\AppData\Roaming\DingTalk\110310903_v2\resource_cache\e9\e9ee14af0167f12dc5590592850aab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yuzy\AppData\Roaming\DingTalk\110310903_v2\resource_cache\e9\e9ee14af0167f12dc5590592850aaba5.jpg"/>
                    <pic:cNvPicPr>
                      <a:picLocks noChangeAspect="1" noChangeArrowheads="1"/>
                    </pic:cNvPicPr>
                  </pic:nvPicPr>
                  <pic:blipFill>
                    <a:blip r:embed="rId9"/>
                    <a:srcRect/>
                    <a:stretch>
                      <a:fillRect/>
                    </a:stretch>
                  </pic:blipFill>
                  <pic:spPr>
                    <a:xfrm>
                      <a:off x="0" y="0"/>
                      <a:ext cx="5352103" cy="7443499"/>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1" w:fontKey="{64C4DEAD-6550-46A3-A234-F23B8C1BB72D}"/>
  </w:font>
  <w:font w:name="仿宋_GB2312">
    <w:panose1 w:val="02010609030101010101"/>
    <w:charset w:val="86"/>
    <w:family w:val="modern"/>
    <w:pitch w:val="default"/>
    <w:sig w:usb0="00000001" w:usb1="080E0000" w:usb2="00000000" w:usb3="00000000" w:csb0="00040000" w:csb1="00000000"/>
    <w:embedRegular r:id="rId2" w:fontKey="{7960C828-9A8E-464B-AF88-0D3F0F12E259}"/>
  </w:font>
  <w:font w:name="方正小标宋简体">
    <w:panose1 w:val="03000509000000000000"/>
    <w:charset w:val="86"/>
    <w:family w:val="auto"/>
    <w:pitch w:val="default"/>
    <w:sig w:usb0="00000001" w:usb1="080E0000" w:usb2="00000000" w:usb3="00000000" w:csb0="00040000" w:csb1="00000000"/>
    <w:embedRegular r:id="rId3" w:fontKey="{D4FD6469-7493-46EB-A01A-5212EE2E7795}"/>
  </w:font>
  <w:font w:name="国标黑体">
    <w:altName w:val="黑体"/>
    <w:panose1 w:val="02000500000000000000"/>
    <w:charset w:val="86"/>
    <w:family w:val="auto"/>
    <w:pitch w:val="default"/>
    <w:sig w:usb0="00000000" w:usb1="00000000" w:usb2="00000000" w:usb3="00000000" w:csb0="00040000" w:csb1="00000000"/>
    <w:embedRegular r:id="rId4" w:fontKey="{051C14F8-9177-4965-A190-1930EBE751C4}"/>
  </w:font>
  <w:font w:name="仿宋">
    <w:panose1 w:val="02010609060101010101"/>
    <w:charset w:val="86"/>
    <w:family w:val="modern"/>
    <w:pitch w:val="default"/>
    <w:sig w:usb0="800002BF" w:usb1="38CF7CFA" w:usb2="00000016" w:usb3="00000000" w:csb0="00040001" w:csb1="00000000"/>
    <w:embedRegular r:id="rId5" w:fontKey="{448C756F-D1F4-4BCA-A756-E7BB4BE05F14}"/>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1"/>
        <w:szCs w:val="21"/>
      </w:rPr>
    </w:sdtEndPr>
    <w:sdtContent>
      <w:p>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32</w:t>
        </w:r>
        <w:r>
          <w:rPr>
            <w:rFonts w:ascii="Times New Roman" w:hAnsi="Times New Roman" w:cs="Times New Roman"/>
            <w:sz w:val="21"/>
            <w:szCs w:val="21"/>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F1"/>
    <w:rsid w:val="000204C3"/>
    <w:rsid w:val="00026250"/>
    <w:rsid w:val="00034B40"/>
    <w:rsid w:val="000500A9"/>
    <w:rsid w:val="00060989"/>
    <w:rsid w:val="00083909"/>
    <w:rsid w:val="000B12C7"/>
    <w:rsid w:val="000B65F5"/>
    <w:rsid w:val="000D7612"/>
    <w:rsid w:val="000E49CC"/>
    <w:rsid w:val="000F227E"/>
    <w:rsid w:val="000F6EEA"/>
    <w:rsid w:val="00105FFE"/>
    <w:rsid w:val="00115000"/>
    <w:rsid w:val="00126FAF"/>
    <w:rsid w:val="001325B9"/>
    <w:rsid w:val="001604E4"/>
    <w:rsid w:val="001654BA"/>
    <w:rsid w:val="001702A7"/>
    <w:rsid w:val="0018405A"/>
    <w:rsid w:val="00195700"/>
    <w:rsid w:val="001A1A85"/>
    <w:rsid w:val="001A7E15"/>
    <w:rsid w:val="001C3D2D"/>
    <w:rsid w:val="001E3F43"/>
    <w:rsid w:val="00201044"/>
    <w:rsid w:val="00201231"/>
    <w:rsid w:val="00201941"/>
    <w:rsid w:val="00217C8A"/>
    <w:rsid w:val="002259C4"/>
    <w:rsid w:val="002366F1"/>
    <w:rsid w:val="0023696E"/>
    <w:rsid w:val="00247B50"/>
    <w:rsid w:val="00247D96"/>
    <w:rsid w:val="00252EBA"/>
    <w:rsid w:val="002569F3"/>
    <w:rsid w:val="00260C53"/>
    <w:rsid w:val="00262979"/>
    <w:rsid w:val="00264F36"/>
    <w:rsid w:val="0028121A"/>
    <w:rsid w:val="002C5408"/>
    <w:rsid w:val="002C7DAC"/>
    <w:rsid w:val="002D19AB"/>
    <w:rsid w:val="002D3A29"/>
    <w:rsid w:val="002D514F"/>
    <w:rsid w:val="002D516C"/>
    <w:rsid w:val="002E2618"/>
    <w:rsid w:val="002F01D2"/>
    <w:rsid w:val="002F4F7A"/>
    <w:rsid w:val="00310832"/>
    <w:rsid w:val="00316CE5"/>
    <w:rsid w:val="003200A8"/>
    <w:rsid w:val="0033356B"/>
    <w:rsid w:val="0035082F"/>
    <w:rsid w:val="00367AB7"/>
    <w:rsid w:val="0037100D"/>
    <w:rsid w:val="00371A72"/>
    <w:rsid w:val="00375B5F"/>
    <w:rsid w:val="0037613D"/>
    <w:rsid w:val="003771E7"/>
    <w:rsid w:val="003864E0"/>
    <w:rsid w:val="003916A1"/>
    <w:rsid w:val="00396B28"/>
    <w:rsid w:val="003B7D34"/>
    <w:rsid w:val="003C3CF8"/>
    <w:rsid w:val="003D223C"/>
    <w:rsid w:val="003E1467"/>
    <w:rsid w:val="003E4369"/>
    <w:rsid w:val="003F33B9"/>
    <w:rsid w:val="00403F97"/>
    <w:rsid w:val="004060C0"/>
    <w:rsid w:val="00425785"/>
    <w:rsid w:val="0044123C"/>
    <w:rsid w:val="00441556"/>
    <w:rsid w:val="004543CE"/>
    <w:rsid w:val="004847CF"/>
    <w:rsid w:val="00486347"/>
    <w:rsid w:val="004A5140"/>
    <w:rsid w:val="004C1A10"/>
    <w:rsid w:val="004C36A2"/>
    <w:rsid w:val="004D09F4"/>
    <w:rsid w:val="004D25C9"/>
    <w:rsid w:val="004D38C6"/>
    <w:rsid w:val="004E350D"/>
    <w:rsid w:val="004F45C1"/>
    <w:rsid w:val="00501E0D"/>
    <w:rsid w:val="00510C99"/>
    <w:rsid w:val="00536373"/>
    <w:rsid w:val="0053711E"/>
    <w:rsid w:val="00537D71"/>
    <w:rsid w:val="00571C11"/>
    <w:rsid w:val="00573484"/>
    <w:rsid w:val="00580A7F"/>
    <w:rsid w:val="005829D2"/>
    <w:rsid w:val="00590088"/>
    <w:rsid w:val="005917B9"/>
    <w:rsid w:val="005A01E0"/>
    <w:rsid w:val="005A132B"/>
    <w:rsid w:val="005B0CDE"/>
    <w:rsid w:val="005B65ED"/>
    <w:rsid w:val="005C312E"/>
    <w:rsid w:val="005D30EA"/>
    <w:rsid w:val="005F253A"/>
    <w:rsid w:val="005F307D"/>
    <w:rsid w:val="00600550"/>
    <w:rsid w:val="00605235"/>
    <w:rsid w:val="006152BD"/>
    <w:rsid w:val="00616DBD"/>
    <w:rsid w:val="0062516F"/>
    <w:rsid w:val="00677822"/>
    <w:rsid w:val="00680AD4"/>
    <w:rsid w:val="006B03CE"/>
    <w:rsid w:val="006B1F42"/>
    <w:rsid w:val="006D0C33"/>
    <w:rsid w:val="006D42B7"/>
    <w:rsid w:val="006E27C3"/>
    <w:rsid w:val="006E4678"/>
    <w:rsid w:val="006F0A80"/>
    <w:rsid w:val="006F12AC"/>
    <w:rsid w:val="006F5820"/>
    <w:rsid w:val="00713A99"/>
    <w:rsid w:val="00721D64"/>
    <w:rsid w:val="00730099"/>
    <w:rsid w:val="00746F5E"/>
    <w:rsid w:val="007617FE"/>
    <w:rsid w:val="00764736"/>
    <w:rsid w:val="00772E6F"/>
    <w:rsid w:val="007A0A09"/>
    <w:rsid w:val="007A3BEC"/>
    <w:rsid w:val="007A4BD9"/>
    <w:rsid w:val="007B782C"/>
    <w:rsid w:val="007F1EAD"/>
    <w:rsid w:val="0080114F"/>
    <w:rsid w:val="0080360A"/>
    <w:rsid w:val="00807879"/>
    <w:rsid w:val="00815537"/>
    <w:rsid w:val="0082023B"/>
    <w:rsid w:val="0082268C"/>
    <w:rsid w:val="008334DC"/>
    <w:rsid w:val="008369F6"/>
    <w:rsid w:val="00836C35"/>
    <w:rsid w:val="0086428D"/>
    <w:rsid w:val="00877A25"/>
    <w:rsid w:val="00893C34"/>
    <w:rsid w:val="008A27AE"/>
    <w:rsid w:val="008C0808"/>
    <w:rsid w:val="008C4708"/>
    <w:rsid w:val="008D6483"/>
    <w:rsid w:val="008D6C6B"/>
    <w:rsid w:val="008E075D"/>
    <w:rsid w:val="008E4BC9"/>
    <w:rsid w:val="008F0C81"/>
    <w:rsid w:val="008F6625"/>
    <w:rsid w:val="009114DF"/>
    <w:rsid w:val="00940697"/>
    <w:rsid w:val="00987D12"/>
    <w:rsid w:val="00987F51"/>
    <w:rsid w:val="0099608A"/>
    <w:rsid w:val="009A0126"/>
    <w:rsid w:val="009C4621"/>
    <w:rsid w:val="009D0721"/>
    <w:rsid w:val="009E65D4"/>
    <w:rsid w:val="00A13041"/>
    <w:rsid w:val="00A15591"/>
    <w:rsid w:val="00A16FDC"/>
    <w:rsid w:val="00A17EC2"/>
    <w:rsid w:val="00A2386C"/>
    <w:rsid w:val="00A246DF"/>
    <w:rsid w:val="00A33743"/>
    <w:rsid w:val="00A43634"/>
    <w:rsid w:val="00A5570A"/>
    <w:rsid w:val="00A61EAF"/>
    <w:rsid w:val="00A710D7"/>
    <w:rsid w:val="00A71837"/>
    <w:rsid w:val="00A762AC"/>
    <w:rsid w:val="00A77B32"/>
    <w:rsid w:val="00A92115"/>
    <w:rsid w:val="00A92367"/>
    <w:rsid w:val="00AA3D22"/>
    <w:rsid w:val="00AA762F"/>
    <w:rsid w:val="00AB7A44"/>
    <w:rsid w:val="00AC7183"/>
    <w:rsid w:val="00AC72AC"/>
    <w:rsid w:val="00AD6142"/>
    <w:rsid w:val="00AE2027"/>
    <w:rsid w:val="00B016DB"/>
    <w:rsid w:val="00B15581"/>
    <w:rsid w:val="00B2685E"/>
    <w:rsid w:val="00B56342"/>
    <w:rsid w:val="00B71612"/>
    <w:rsid w:val="00B83F8A"/>
    <w:rsid w:val="00B8785C"/>
    <w:rsid w:val="00BA7AED"/>
    <w:rsid w:val="00BD14B0"/>
    <w:rsid w:val="00BE4B5F"/>
    <w:rsid w:val="00BE71AB"/>
    <w:rsid w:val="00C13A55"/>
    <w:rsid w:val="00C21A88"/>
    <w:rsid w:val="00C33BA5"/>
    <w:rsid w:val="00C40D73"/>
    <w:rsid w:val="00C55829"/>
    <w:rsid w:val="00CA3A26"/>
    <w:rsid w:val="00CC7A8B"/>
    <w:rsid w:val="00CE79E4"/>
    <w:rsid w:val="00CE7E36"/>
    <w:rsid w:val="00CF09A6"/>
    <w:rsid w:val="00D10B2B"/>
    <w:rsid w:val="00D13C97"/>
    <w:rsid w:val="00D15289"/>
    <w:rsid w:val="00D154A7"/>
    <w:rsid w:val="00D2472D"/>
    <w:rsid w:val="00D25F85"/>
    <w:rsid w:val="00D330AD"/>
    <w:rsid w:val="00D56698"/>
    <w:rsid w:val="00D62AE7"/>
    <w:rsid w:val="00D74024"/>
    <w:rsid w:val="00D74E91"/>
    <w:rsid w:val="00D859CE"/>
    <w:rsid w:val="00D95274"/>
    <w:rsid w:val="00DA61A7"/>
    <w:rsid w:val="00DC2500"/>
    <w:rsid w:val="00DD32A8"/>
    <w:rsid w:val="00DE10A8"/>
    <w:rsid w:val="00DE27F9"/>
    <w:rsid w:val="00DF17D3"/>
    <w:rsid w:val="00E31269"/>
    <w:rsid w:val="00E36245"/>
    <w:rsid w:val="00E509FE"/>
    <w:rsid w:val="00E86AAC"/>
    <w:rsid w:val="00E86CEE"/>
    <w:rsid w:val="00E9446D"/>
    <w:rsid w:val="00EA115D"/>
    <w:rsid w:val="00EB1D9F"/>
    <w:rsid w:val="00EC6D74"/>
    <w:rsid w:val="00ED56A5"/>
    <w:rsid w:val="00ED6EF1"/>
    <w:rsid w:val="00F02C31"/>
    <w:rsid w:val="00F03082"/>
    <w:rsid w:val="00F030FE"/>
    <w:rsid w:val="00F1286E"/>
    <w:rsid w:val="00F149F4"/>
    <w:rsid w:val="00F319F5"/>
    <w:rsid w:val="00F4710F"/>
    <w:rsid w:val="00F53F3F"/>
    <w:rsid w:val="00F62C0B"/>
    <w:rsid w:val="00F65F9E"/>
    <w:rsid w:val="00F772EB"/>
    <w:rsid w:val="00FB3F8C"/>
    <w:rsid w:val="00FD301A"/>
    <w:rsid w:val="00FE4F55"/>
    <w:rsid w:val="00FF002C"/>
    <w:rsid w:val="00FF1507"/>
    <w:rsid w:val="00FF2E74"/>
    <w:rsid w:val="00FF54CF"/>
    <w:rsid w:val="01D17056"/>
    <w:rsid w:val="01FFF1B5"/>
    <w:rsid w:val="04640655"/>
    <w:rsid w:val="07F341CA"/>
    <w:rsid w:val="083C7CF1"/>
    <w:rsid w:val="086C5D2B"/>
    <w:rsid w:val="0C3E373D"/>
    <w:rsid w:val="1246555E"/>
    <w:rsid w:val="17DE0A91"/>
    <w:rsid w:val="1C166281"/>
    <w:rsid w:val="1CFA4A12"/>
    <w:rsid w:val="1FFA3B0F"/>
    <w:rsid w:val="203D202F"/>
    <w:rsid w:val="225036E3"/>
    <w:rsid w:val="226A7523"/>
    <w:rsid w:val="237B622B"/>
    <w:rsid w:val="23A91789"/>
    <w:rsid w:val="272D13C6"/>
    <w:rsid w:val="29FAECD0"/>
    <w:rsid w:val="2A2E1AE9"/>
    <w:rsid w:val="2A646A64"/>
    <w:rsid w:val="2A66953B"/>
    <w:rsid w:val="2B104BA7"/>
    <w:rsid w:val="2BD01E07"/>
    <w:rsid w:val="2EB4BE53"/>
    <w:rsid w:val="31424559"/>
    <w:rsid w:val="31FD37BA"/>
    <w:rsid w:val="323352EB"/>
    <w:rsid w:val="3637621E"/>
    <w:rsid w:val="36B22B77"/>
    <w:rsid w:val="36DFFF33"/>
    <w:rsid w:val="373F7CED"/>
    <w:rsid w:val="37FB652D"/>
    <w:rsid w:val="38172D0E"/>
    <w:rsid w:val="3AFF7BB5"/>
    <w:rsid w:val="3B150767"/>
    <w:rsid w:val="3C3A346E"/>
    <w:rsid w:val="3C4D7E6F"/>
    <w:rsid w:val="3C6C05EB"/>
    <w:rsid w:val="3CB749BD"/>
    <w:rsid w:val="3D2E2875"/>
    <w:rsid w:val="3EFAE26C"/>
    <w:rsid w:val="3F7B0271"/>
    <w:rsid w:val="3FF762B0"/>
    <w:rsid w:val="40E439A9"/>
    <w:rsid w:val="45C94763"/>
    <w:rsid w:val="4744224D"/>
    <w:rsid w:val="4B0C60F8"/>
    <w:rsid w:val="4B3450DD"/>
    <w:rsid w:val="52F11223"/>
    <w:rsid w:val="554051FA"/>
    <w:rsid w:val="576527DB"/>
    <w:rsid w:val="57834E6B"/>
    <w:rsid w:val="579826DC"/>
    <w:rsid w:val="5855098C"/>
    <w:rsid w:val="5A4361C1"/>
    <w:rsid w:val="5CB94BB4"/>
    <w:rsid w:val="5D7BA3C6"/>
    <w:rsid w:val="5EEB6EFA"/>
    <w:rsid w:val="636F2951"/>
    <w:rsid w:val="66F4178F"/>
    <w:rsid w:val="6732126D"/>
    <w:rsid w:val="67EFF647"/>
    <w:rsid w:val="6839668C"/>
    <w:rsid w:val="69773B51"/>
    <w:rsid w:val="6AE83417"/>
    <w:rsid w:val="6BD76475"/>
    <w:rsid w:val="6BF857E0"/>
    <w:rsid w:val="6CCE4D01"/>
    <w:rsid w:val="6FF909AB"/>
    <w:rsid w:val="6FFEE170"/>
    <w:rsid w:val="71232B01"/>
    <w:rsid w:val="7144098C"/>
    <w:rsid w:val="717346BA"/>
    <w:rsid w:val="740653A9"/>
    <w:rsid w:val="76FD7053"/>
    <w:rsid w:val="77E5FB2E"/>
    <w:rsid w:val="77EE5FC5"/>
    <w:rsid w:val="77FD4C8F"/>
    <w:rsid w:val="77FE6030"/>
    <w:rsid w:val="77FF61BA"/>
    <w:rsid w:val="793F9E13"/>
    <w:rsid w:val="7C0F03DB"/>
    <w:rsid w:val="7CA314B6"/>
    <w:rsid w:val="7D2FA834"/>
    <w:rsid w:val="7DBD9177"/>
    <w:rsid w:val="7DEB7A08"/>
    <w:rsid w:val="7EBB2ACA"/>
    <w:rsid w:val="7F350064"/>
    <w:rsid w:val="7F5B2021"/>
    <w:rsid w:val="7F7F5D8D"/>
    <w:rsid w:val="7F9EA2F6"/>
    <w:rsid w:val="7FB9E428"/>
    <w:rsid w:val="7FBBF849"/>
    <w:rsid w:val="97F8D4C3"/>
    <w:rsid w:val="9EDC1721"/>
    <w:rsid w:val="9FFE5602"/>
    <w:rsid w:val="AE9B82F8"/>
    <w:rsid w:val="BB7EFE08"/>
    <w:rsid w:val="BDB9AED1"/>
    <w:rsid w:val="BDFFBF66"/>
    <w:rsid w:val="BF9E12F6"/>
    <w:rsid w:val="D6FF0360"/>
    <w:rsid w:val="DF5F6CCD"/>
    <w:rsid w:val="DFBB2665"/>
    <w:rsid w:val="E7BEB662"/>
    <w:rsid w:val="E7FA3C20"/>
    <w:rsid w:val="EA7B0D3A"/>
    <w:rsid w:val="EBFC58C8"/>
    <w:rsid w:val="EDFD8C5F"/>
    <w:rsid w:val="EE7E9A20"/>
    <w:rsid w:val="EFAB44E8"/>
    <w:rsid w:val="EFFE609D"/>
    <w:rsid w:val="F1778900"/>
    <w:rsid w:val="F1FFB1CB"/>
    <w:rsid w:val="F4FFED8F"/>
    <w:rsid w:val="F71BBA14"/>
    <w:rsid w:val="F7FB943C"/>
    <w:rsid w:val="FA5962F6"/>
    <w:rsid w:val="FBED577C"/>
    <w:rsid w:val="FBEF2F93"/>
    <w:rsid w:val="FDCF265E"/>
    <w:rsid w:val="FDEB107F"/>
    <w:rsid w:val="FDFE7C42"/>
    <w:rsid w:val="FE6D666F"/>
    <w:rsid w:val="FEBEF1F7"/>
    <w:rsid w:val="FEFF4936"/>
    <w:rsid w:val="FF3E5953"/>
    <w:rsid w:val="FF7A5F46"/>
    <w:rsid w:val="FFA8A4BF"/>
    <w:rsid w:val="FFDE9279"/>
    <w:rsid w:val="FFE733CF"/>
    <w:rsid w:val="FFFB3C2B"/>
    <w:rsid w:val="FFFDCD9A"/>
    <w:rsid w:val="FFFEF0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rPr>
      <w:rFonts w:eastAsia="宋体"/>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kern w:val="2"/>
      <w:sz w:val="18"/>
      <w:szCs w:val="18"/>
    </w:rPr>
  </w:style>
  <w:style w:type="character" w:customStyle="1" w:styleId="16">
    <w:name w:val="font121"/>
    <w:qFormat/>
    <w:uiPriority w:val="0"/>
    <w:rPr>
      <w:rFonts w:ascii="黑体" w:hAnsi="宋体" w:eastAsia="黑体" w:cs="黑体"/>
      <w:color w:val="000000"/>
      <w:sz w:val="28"/>
      <w:szCs w:val="28"/>
      <w:u w:val="none"/>
    </w:rPr>
  </w:style>
  <w:style w:type="character" w:customStyle="1" w:styleId="17">
    <w:name w:val="font141"/>
    <w:qFormat/>
    <w:uiPriority w:val="0"/>
    <w:rPr>
      <w:rFonts w:hint="eastAsia" w:ascii="黑体" w:hAnsi="宋体" w:eastAsia="黑体" w:cs="黑体"/>
      <w:color w:val="000000"/>
      <w:sz w:val="24"/>
      <w:szCs w:val="24"/>
      <w:u w:val="none"/>
    </w:rPr>
  </w:style>
  <w:style w:type="character" w:customStyle="1" w:styleId="18">
    <w:name w:val="font31"/>
    <w:qFormat/>
    <w:uiPriority w:val="0"/>
    <w:rPr>
      <w:rFonts w:hint="eastAsia" w:ascii="宋体" w:hAnsi="宋体" w:eastAsia="宋体" w:cs="宋体"/>
      <w:color w:val="000000"/>
      <w:sz w:val="20"/>
      <w:szCs w:val="20"/>
      <w:u w:val="none"/>
    </w:rPr>
  </w:style>
  <w:style w:type="character" w:customStyle="1" w:styleId="19">
    <w:name w:val="标题 3 字符"/>
    <w:basedOn w:val="9"/>
    <w:link w:val="3"/>
    <w:qFormat/>
    <w:uiPriority w:val="9"/>
    <w:rPr>
      <w:rFonts w:ascii="宋体" w:hAnsi="宋体" w:eastAsia="宋体" w:cs="宋体"/>
      <w:b/>
      <w:bCs/>
      <w:sz w:val="27"/>
      <w:szCs w:val="27"/>
    </w:rPr>
  </w:style>
  <w:style w:type="character" w:customStyle="1" w:styleId="20">
    <w:name w:val="批注文字 字符"/>
    <w:basedOn w:val="9"/>
    <w:link w:val="2"/>
    <w:qFormat/>
    <w:uiPriority w:val="0"/>
    <w:rPr>
      <w:kern w:val="2"/>
      <w:sz w:val="21"/>
      <w:szCs w:val="22"/>
    </w:rPr>
  </w:style>
  <w:style w:type="character" w:customStyle="1" w:styleId="21">
    <w:name w:val="fontstyle01"/>
    <w:basedOn w:val="9"/>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4093</Words>
  <Characters>23331</Characters>
  <Lines>194</Lines>
  <Paragraphs>54</Paragraphs>
  <TotalTime>35</TotalTime>
  <ScaleCrop>false</ScaleCrop>
  <LinksUpToDate>false</LinksUpToDate>
  <CharactersWithSpaces>27370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2025-10-19T13:54:00Z</dcterms:created>
  <dc:creator>於仲义</dc:creator>
  <cp:lastModifiedBy>Administrator</cp:lastModifiedBy>
  <cp:lastPrinted>2025-10-16T16:29:00Z</cp:lastPrinted>
  <dcterms:modified xsi:type="dcterms:W3CDTF">2025-10-29T01:59:56Z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8143B3417F5614BB3C12F7689853D1C4_43</vt:lpwstr>
  </property>
  <property fmtid="{D5CDD505-2E9C-101B-9397-08002B2CF9AE}" pid="4" name="KSOTemplateDocerSaveRecord">
    <vt:lpwstr>eyJoZGlkIjoiYWE5NDc0NzRiYWNjNTlhZTdkMjliNjJhYTE2ZmU1ZDgiLCJ1c2VySWQiOiI1MTYzNDg2NjMifQ==</vt:lpwstr>
  </property>
</Properties>
</file>