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7DACC">
      <w:pPr>
        <w:pStyle w:val="286"/>
      </w:pPr>
    </w:p>
    <w:p w14:paraId="1D6819CB">
      <w:pPr>
        <w:pStyle w:val="258"/>
        <w:ind w:firstLine="420"/>
      </w:pPr>
    </w:p>
    <w:p w14:paraId="4AA6A6C5">
      <w:pPr>
        <w:pStyle w:val="258"/>
        <w:ind w:firstLine="420"/>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695960</wp:posOffset>
                </wp:positionV>
                <wp:extent cx="6120765" cy="4320540"/>
                <wp:effectExtent l="0" t="0" r="0" b="0"/>
                <wp:wrapNone/>
                <wp:docPr id="7"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noFill/>
                        <a:ln w="6350">
                          <a:noFill/>
                        </a:ln>
                      </wps:spPr>
                      <wps:txbx>
                        <w:txbxContent>
                          <w:p w14:paraId="4CF5EE2C">
                            <w:pPr>
                              <w:pStyle w:val="268"/>
                            </w:pPr>
                            <w:r>
                              <w:rPr>
                                <w:rFonts w:hint="eastAsia"/>
                              </w:rPr>
                              <w:t>武汉市超低能耗建筑技术导则</w:t>
                            </w:r>
                          </w:p>
                          <w:p w14:paraId="3027737C">
                            <w:pPr>
                              <w:pStyle w:val="268"/>
                            </w:pPr>
                          </w:p>
                          <w:p w14:paraId="781F6531">
                            <w:pPr>
                              <w:pStyle w:val="268"/>
                              <w:rPr>
                                <w:rFonts w:hAnsi="黑体" w:cs="黑体"/>
                                <w:snapToGrid w:val="0"/>
                                <w:color w:val="000000"/>
                                <w:spacing w:val="-1"/>
                                <w:sz w:val="28"/>
                                <w:szCs w:val="28"/>
                              </w:rPr>
                            </w:pPr>
                            <w:r>
                              <w:rPr>
                                <w:rFonts w:hAnsi="黑体" w:cs="黑体"/>
                                <w:snapToGrid w:val="0"/>
                                <w:color w:val="000000"/>
                                <w:spacing w:val="-1"/>
                                <w:sz w:val="28"/>
                                <w:szCs w:val="28"/>
                              </w:rPr>
                              <w:t>Technical guidelines for Ultra-low Energy Consumption buildings in Wuhan</w:t>
                            </w:r>
                          </w:p>
                          <w:p w14:paraId="1E257AFA">
                            <w:pPr>
                              <w:pStyle w:val="271"/>
                            </w:pPr>
                          </w:p>
                          <w:p w14:paraId="14EF7DA2">
                            <w:pPr>
                              <w:overflowPunct w:val="0"/>
                              <w:jc w:val="center"/>
                              <w:rPr>
                                <w:rFonts w:ascii="黑体" w:hAnsi="黑体" w:eastAsia="黑体"/>
                                <w:b/>
                                <w:color w:val="000000"/>
                                <w:sz w:val="32"/>
                                <w:szCs w:val="32"/>
                              </w:rPr>
                            </w:pPr>
                            <w:r>
                              <w:rPr>
                                <w:rFonts w:hint="eastAsia" w:ascii="黑体" w:hAnsi="黑体" w:eastAsia="黑体"/>
                                <w:b/>
                                <w:color w:val="000000"/>
                                <w:sz w:val="32"/>
                                <w:szCs w:val="32"/>
                              </w:rPr>
                              <w:t>（</w:t>
                            </w:r>
                            <w:r>
                              <w:rPr>
                                <w:rFonts w:hint="eastAsia" w:ascii="黑体" w:hAnsi="黑体" w:eastAsia="黑体"/>
                                <w:b/>
                                <w:color w:val="000000"/>
                                <w:sz w:val="32"/>
                                <w:szCs w:val="32"/>
                                <w:lang w:val="en-US" w:eastAsia="zh-CN"/>
                              </w:rPr>
                              <w:t>征求意见</w:t>
                            </w:r>
                            <w:r>
                              <w:rPr>
                                <w:rFonts w:hint="eastAsia" w:ascii="黑体" w:hAnsi="黑体" w:eastAsia="黑体"/>
                                <w:b/>
                                <w:color w:val="000000"/>
                                <w:sz w:val="32"/>
                                <w:szCs w:val="32"/>
                              </w:rPr>
                              <w:t>稿）</w:t>
                            </w:r>
                          </w:p>
                          <w:p w14:paraId="4BEFBC47">
                            <w:pPr>
                              <w:spacing w:line="312" w:lineRule="auto"/>
                              <w:rPr>
                                <w:rFonts w:ascii="宋体"/>
                              </w:rPr>
                            </w:pPr>
                          </w:p>
                          <w:p w14:paraId="286527DD">
                            <w:pPr>
                              <w:spacing w:line="313" w:lineRule="auto"/>
                              <w:rPr>
                                <w:rFonts w:ascii="宋体"/>
                              </w:rPr>
                            </w:pPr>
                          </w:p>
                          <w:p w14:paraId="1D7090BF">
                            <w:pPr>
                              <w:pStyle w:val="272"/>
                            </w:pP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7" o:spid="_x0000_s1026" o:spt="202" type="#_x0000_t202" style="position:absolute;left:0pt;margin-left:0pt;margin-top:54.8pt;height:340.2pt;width:481.95pt;z-index:251661312;mso-width-relative:page;mso-height-relative:page;" filled="f" stroked="f" coordsize="21600,21600" o:gfxdata="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QlxFG1wAAAAkBAAAPAAAAAAAA&#10;AAEAIAAAACIAAABkcnMvZG93bnJldi54bWxQSwECFAAUAAAACACHTuJA5bk/ikwCAABjBAAADgAA&#10;AAAAAAABACAAAAAmAQAAZHJzL2Uyb0RvYy54bWxQSwUGAAAAAAYABgBZAQAA5AUAAAAA&#10;">
                <v:fill on="f" focussize="0,0"/>
                <v:stroke on="f" weight="0.5pt"/>
                <v:imagedata o:title=""/>
                <o:lock v:ext="edit" aspectratio="f"/>
                <v:textbox inset="0mm,0mm,2.54mm,0mm" style="mso-fit-shape-to-text:t;">
                  <w:txbxContent>
                    <w:p w14:paraId="4CF5EE2C">
                      <w:pPr>
                        <w:pStyle w:val="268"/>
                      </w:pPr>
                      <w:r>
                        <w:rPr>
                          <w:rFonts w:hint="eastAsia"/>
                        </w:rPr>
                        <w:t>武汉市超低能耗建筑技术导则</w:t>
                      </w:r>
                    </w:p>
                    <w:p w14:paraId="3027737C">
                      <w:pPr>
                        <w:pStyle w:val="268"/>
                      </w:pPr>
                    </w:p>
                    <w:p w14:paraId="781F6531">
                      <w:pPr>
                        <w:pStyle w:val="268"/>
                        <w:rPr>
                          <w:rFonts w:hAnsi="黑体" w:cs="黑体"/>
                          <w:snapToGrid w:val="0"/>
                          <w:color w:val="000000"/>
                          <w:spacing w:val="-1"/>
                          <w:sz w:val="28"/>
                          <w:szCs w:val="28"/>
                        </w:rPr>
                      </w:pPr>
                      <w:r>
                        <w:rPr>
                          <w:rFonts w:hAnsi="黑体" w:cs="黑体"/>
                          <w:snapToGrid w:val="0"/>
                          <w:color w:val="000000"/>
                          <w:spacing w:val="-1"/>
                          <w:sz w:val="28"/>
                          <w:szCs w:val="28"/>
                        </w:rPr>
                        <w:t>Technical guidelines for Ultra-low Energy Consumption buildings in Wuhan</w:t>
                      </w:r>
                    </w:p>
                    <w:p w14:paraId="1E257AFA">
                      <w:pPr>
                        <w:pStyle w:val="271"/>
                      </w:pPr>
                    </w:p>
                    <w:p w14:paraId="14EF7DA2">
                      <w:pPr>
                        <w:overflowPunct w:val="0"/>
                        <w:jc w:val="center"/>
                        <w:rPr>
                          <w:rFonts w:ascii="黑体" w:hAnsi="黑体" w:eastAsia="黑体"/>
                          <w:b/>
                          <w:color w:val="000000"/>
                          <w:sz w:val="32"/>
                          <w:szCs w:val="32"/>
                        </w:rPr>
                      </w:pPr>
                      <w:r>
                        <w:rPr>
                          <w:rFonts w:hint="eastAsia" w:ascii="黑体" w:hAnsi="黑体" w:eastAsia="黑体"/>
                          <w:b/>
                          <w:color w:val="000000"/>
                          <w:sz w:val="32"/>
                          <w:szCs w:val="32"/>
                        </w:rPr>
                        <w:t>（</w:t>
                      </w:r>
                      <w:r>
                        <w:rPr>
                          <w:rFonts w:hint="eastAsia" w:ascii="黑体" w:hAnsi="黑体" w:eastAsia="黑体"/>
                          <w:b/>
                          <w:color w:val="000000"/>
                          <w:sz w:val="32"/>
                          <w:szCs w:val="32"/>
                          <w:lang w:val="en-US" w:eastAsia="zh-CN"/>
                        </w:rPr>
                        <w:t>征求意见</w:t>
                      </w:r>
                      <w:r>
                        <w:rPr>
                          <w:rFonts w:hint="eastAsia" w:ascii="黑体" w:hAnsi="黑体" w:eastAsia="黑体"/>
                          <w:b/>
                          <w:color w:val="000000"/>
                          <w:sz w:val="32"/>
                          <w:szCs w:val="32"/>
                        </w:rPr>
                        <w:t>稿）</w:t>
                      </w:r>
                    </w:p>
                    <w:p w14:paraId="4BEFBC47">
                      <w:pPr>
                        <w:spacing w:line="312" w:lineRule="auto"/>
                        <w:rPr>
                          <w:rFonts w:ascii="宋体"/>
                        </w:rPr>
                      </w:pPr>
                    </w:p>
                    <w:p w14:paraId="286527DD">
                      <w:pPr>
                        <w:spacing w:line="313" w:lineRule="auto"/>
                        <w:rPr>
                          <w:rFonts w:ascii="宋体"/>
                        </w:rPr>
                      </w:pPr>
                    </w:p>
                    <w:p w14:paraId="1D7090BF">
                      <w:pPr>
                        <w:pStyle w:val="272"/>
                      </w:pPr>
                    </w:p>
                  </w:txbxContent>
                </v:textbox>
              </v:shape>
            </w:pict>
          </mc:Fallback>
        </mc:AlternateContent>
      </w:r>
    </w:p>
    <w:p w14:paraId="2C4C0DC2">
      <w:pPr>
        <w:pStyle w:val="258"/>
        <w:ind w:firstLine="420"/>
        <w:rPr>
          <w:bdr w:val="none" w:sz="0" w:space="0"/>
        </w:rPr>
        <w:sectPr>
          <w:headerReference r:id="rId5" w:type="first"/>
          <w:footerReference r:id="rId8" w:type="first"/>
          <w:headerReference r:id="rId3" w:type="default"/>
          <w:footerReference r:id="rId6" w:type="default"/>
          <w:headerReference r:id="rId4" w:type="even"/>
          <w:footerReference r:id="rId7" w:type="even"/>
          <w:pgSz w:w="11907" w:h="16839"/>
          <w:pgMar w:top="567" w:right="1134" w:bottom="1134" w:left="1418" w:header="284" w:footer="1134" w:gutter="0"/>
          <w:pgNumType w:fmt="upperRoman" w:start="1"/>
          <w:cols w:space="425" w:num="1"/>
          <w:titlePg/>
          <w:docGrid w:type="lines" w:linePitch="312" w:charSpace="0"/>
        </w:sectPr>
      </w:pPr>
      <w:r>
        <w:rPr>
          <w:rFonts w:hint="default" w:ascii="Times New Roman" w:hAnsi="Times New Roman" w:eastAsia="宋体" w:cs="Times New Roman"/>
          <w:color w:val="auto"/>
        </w:rPr>
        <mc:AlternateContent>
          <mc:Choice Requires="wps">
            <w:drawing>
              <wp:anchor distT="0" distB="0" distL="114300" distR="114300" simplePos="0" relativeHeight="251662336" behindDoc="0" locked="0" layoutInCell="1" allowOverlap="1">
                <wp:simplePos x="0" y="0"/>
                <wp:positionH relativeFrom="page">
                  <wp:posOffset>2012950</wp:posOffset>
                </wp:positionH>
                <wp:positionV relativeFrom="page">
                  <wp:posOffset>6931025</wp:posOffset>
                </wp:positionV>
                <wp:extent cx="3678555" cy="840105"/>
                <wp:effectExtent l="0" t="0" r="0" b="0"/>
                <wp:wrapNone/>
                <wp:docPr id="11" name="首页自画框图11"/>
                <wp:cNvGraphicFramePr/>
                <a:graphic xmlns:a="http://schemas.openxmlformats.org/drawingml/2006/main">
                  <a:graphicData uri="http://schemas.microsoft.com/office/word/2010/wordprocessingShape">
                    <wps:wsp>
                      <wps:cNvSpPr txBox="1"/>
                      <wps:spPr>
                        <a:xfrm>
                          <a:off x="0" y="0"/>
                          <a:ext cx="3678555" cy="840105"/>
                        </a:xfrm>
                        <a:prstGeom prst="rect">
                          <a:avLst/>
                        </a:prstGeom>
                        <a:noFill/>
                        <a:ln w="6350">
                          <a:noFill/>
                        </a:ln>
                      </wps:spPr>
                      <wps:txbx>
                        <w:txbxContent>
                          <w:p w14:paraId="7B6FF9C9">
                            <w:pPr>
                              <w:pStyle w:val="342"/>
                              <w:spacing w:line="360" w:lineRule="auto"/>
                              <w:rPr>
                                <w:rFonts w:hint="eastAsia"/>
                                <w:lang w:val="en-US" w:eastAsia="zh-CN"/>
                              </w:rPr>
                            </w:pPr>
                            <w:r>
                              <w:rPr>
                                <w:rFonts w:hint="eastAsia"/>
                              </w:rPr>
                              <w:t>武汉市</w:t>
                            </w:r>
                            <w:r>
                              <w:rPr>
                                <w:rFonts w:hint="eastAsia"/>
                                <w:lang w:val="en-US" w:eastAsia="zh-CN"/>
                              </w:rPr>
                              <w:t>自然资源和城乡建设局</w:t>
                            </w:r>
                          </w:p>
                          <w:p w14:paraId="32C2FEAD">
                            <w:pPr>
                              <w:spacing w:line="360" w:lineRule="auto"/>
                              <w:jc w:val="center"/>
                              <w:rPr>
                                <w:rFonts w:hint="default"/>
                                <w:lang w:val="en-US" w:eastAsia="zh-CN"/>
                              </w:rPr>
                            </w:pPr>
                            <w:r>
                              <w:rPr>
                                <w:rFonts w:hint="eastAsia" w:ascii="宋体" w:hAnsi="宋体" w:eastAsia="宋体" w:cs="Times New Roman"/>
                                <w:b/>
                                <w:kern w:val="0"/>
                                <w:sz w:val="36"/>
                                <w:szCs w:val="20"/>
                                <w:lang w:val="en-US" w:eastAsia="zh-CN" w:bidi="ar-SA"/>
                              </w:rPr>
                              <w:t>202</w:t>
                            </w:r>
                            <w:r>
                              <w:rPr>
                                <w:rFonts w:hint="eastAsia" w:ascii="宋体" w:hAnsi="宋体" w:cs="Times New Roman"/>
                                <w:b/>
                                <w:kern w:val="0"/>
                                <w:sz w:val="36"/>
                                <w:szCs w:val="20"/>
                                <w:lang w:val="en-US" w:eastAsia="zh-CN" w:bidi="ar-SA"/>
                              </w:rPr>
                              <w:t>6</w:t>
                            </w:r>
                            <w:r>
                              <w:rPr>
                                <w:rFonts w:hint="eastAsia" w:ascii="宋体" w:hAnsi="宋体" w:eastAsia="宋体" w:cs="Times New Roman"/>
                                <w:b/>
                                <w:kern w:val="0"/>
                                <w:sz w:val="36"/>
                                <w:szCs w:val="20"/>
                                <w:lang w:val="en-US" w:eastAsia="zh-CN" w:bidi="ar-SA"/>
                              </w:rPr>
                              <w:t>年</w:t>
                            </w:r>
                            <w:r>
                              <w:rPr>
                                <w:rFonts w:hint="eastAsia" w:ascii="宋体" w:hAnsi="宋体" w:cs="Times New Roman"/>
                                <w:b/>
                                <w:kern w:val="0"/>
                                <w:sz w:val="36"/>
                                <w:szCs w:val="20"/>
                                <w:lang w:val="en-US" w:eastAsia="zh-CN" w:bidi="ar-SA"/>
                              </w:rPr>
                              <w:t>7</w:t>
                            </w:r>
                            <w:r>
                              <w:rPr>
                                <w:rFonts w:hint="eastAsia" w:ascii="宋体" w:hAnsi="宋体" w:eastAsia="宋体" w:cs="Times New Roman"/>
                                <w:b/>
                                <w:kern w:val="0"/>
                                <w:sz w:val="36"/>
                                <w:szCs w:val="20"/>
                                <w:lang w:val="en-US" w:eastAsia="zh-CN" w:bidi="ar-SA"/>
                              </w:rPr>
                              <w:t>月</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58.5pt;margin-top:545.75pt;height:66.15pt;width:289.65pt;mso-position-horizontal-relative:page;mso-position-vertical-relative:page;z-index:251662336;mso-width-relative:page;mso-height-relative:page;" filled="f" stroked="f" coordsize="21600,21600" o:gfxdata="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wxskDbAAAADQEAAA8AAAAAAAAAAQAg&#10;AAAAIgAAAGRycy9kb3ducmV2LnhtbFBLAQIUABQAAAAIAIdO4kAjF4MORAIAAGAEAAAOAAAAAAAA&#10;AAEAIAAAACoBAABkcnMvZTJvRG9jLnhtbFBLBQYAAAAABgAGAFkBAADgBQAAAAA=&#10;">
                <v:fill on="f" focussize="0,0"/>
                <v:stroke on="f" weight="0.5pt"/>
                <v:imagedata o:title=""/>
                <o:lock v:ext="edit" aspectratio="f"/>
                <v:textbox inset="0mm,0mm,0mm,0mm">
                  <w:txbxContent>
                    <w:p w14:paraId="7B6FF9C9">
                      <w:pPr>
                        <w:pStyle w:val="342"/>
                        <w:spacing w:line="360" w:lineRule="auto"/>
                        <w:rPr>
                          <w:rFonts w:hint="eastAsia"/>
                          <w:lang w:val="en-US" w:eastAsia="zh-CN"/>
                        </w:rPr>
                      </w:pPr>
                      <w:r>
                        <w:rPr>
                          <w:rFonts w:hint="eastAsia"/>
                        </w:rPr>
                        <w:t>武汉市</w:t>
                      </w:r>
                      <w:r>
                        <w:rPr>
                          <w:rFonts w:hint="eastAsia"/>
                          <w:lang w:val="en-US" w:eastAsia="zh-CN"/>
                        </w:rPr>
                        <w:t>自然资源和城乡建设局</w:t>
                      </w:r>
                    </w:p>
                    <w:p w14:paraId="32C2FEAD">
                      <w:pPr>
                        <w:spacing w:line="360" w:lineRule="auto"/>
                        <w:jc w:val="center"/>
                        <w:rPr>
                          <w:rFonts w:hint="default"/>
                          <w:lang w:val="en-US" w:eastAsia="zh-CN"/>
                        </w:rPr>
                      </w:pPr>
                      <w:r>
                        <w:rPr>
                          <w:rFonts w:hint="eastAsia" w:ascii="宋体" w:hAnsi="宋体" w:eastAsia="宋体" w:cs="Times New Roman"/>
                          <w:b/>
                          <w:kern w:val="0"/>
                          <w:sz w:val="36"/>
                          <w:szCs w:val="20"/>
                          <w:lang w:val="en-US" w:eastAsia="zh-CN" w:bidi="ar-SA"/>
                        </w:rPr>
                        <w:t>202</w:t>
                      </w:r>
                      <w:r>
                        <w:rPr>
                          <w:rFonts w:hint="eastAsia" w:ascii="宋体" w:hAnsi="宋体" w:cs="Times New Roman"/>
                          <w:b/>
                          <w:kern w:val="0"/>
                          <w:sz w:val="36"/>
                          <w:szCs w:val="20"/>
                          <w:lang w:val="en-US" w:eastAsia="zh-CN" w:bidi="ar-SA"/>
                        </w:rPr>
                        <w:t>6</w:t>
                      </w:r>
                      <w:r>
                        <w:rPr>
                          <w:rFonts w:hint="eastAsia" w:ascii="宋体" w:hAnsi="宋体" w:eastAsia="宋体" w:cs="Times New Roman"/>
                          <w:b/>
                          <w:kern w:val="0"/>
                          <w:sz w:val="36"/>
                          <w:szCs w:val="20"/>
                          <w:lang w:val="en-US" w:eastAsia="zh-CN" w:bidi="ar-SA"/>
                        </w:rPr>
                        <w:t>年</w:t>
                      </w:r>
                      <w:r>
                        <w:rPr>
                          <w:rFonts w:hint="eastAsia" w:ascii="宋体" w:hAnsi="宋体" w:cs="Times New Roman"/>
                          <w:b/>
                          <w:kern w:val="0"/>
                          <w:sz w:val="36"/>
                          <w:szCs w:val="20"/>
                          <w:lang w:val="en-US" w:eastAsia="zh-CN" w:bidi="ar-SA"/>
                        </w:rPr>
                        <w:t>7</w:t>
                      </w:r>
                      <w:r>
                        <w:rPr>
                          <w:rFonts w:hint="eastAsia" w:ascii="宋体" w:hAnsi="宋体" w:eastAsia="宋体" w:cs="Times New Roman"/>
                          <w:b/>
                          <w:kern w:val="0"/>
                          <w:sz w:val="36"/>
                          <w:szCs w:val="20"/>
                          <w:lang w:val="en-US" w:eastAsia="zh-CN" w:bidi="ar-SA"/>
                        </w:rPr>
                        <w:t>月</w:t>
                      </w:r>
                    </w:p>
                  </w:txbxContent>
                </v:textbox>
              </v:shape>
            </w:pict>
          </mc:Fallback>
        </mc:AlternateContent>
      </w:r>
    </w:p>
    <w:p w14:paraId="723328E2">
      <w:pPr>
        <w:pStyle w:val="256"/>
        <w:spacing w:before="851" w:after="680"/>
      </w:pPr>
      <w:bookmarkStart w:id="0" w:name="标准目次"/>
      <w:bookmarkEnd w:id="0"/>
      <w:bookmarkStart w:id="1" w:name="_Toc103097585"/>
      <w:bookmarkStart w:id="2" w:name="_Toc103253779"/>
      <w:bookmarkStart w:id="3" w:name="_Toc4472"/>
      <w:r>
        <w:rPr>
          <w:rFonts w:hint="eastAsia"/>
        </w:rPr>
        <w:t>目    次</w:t>
      </w:r>
      <w:bookmarkEnd w:id="1"/>
      <w:bookmarkEnd w:id="2"/>
      <w:bookmarkEnd w:id="3"/>
    </w:p>
    <w:p w14:paraId="2A85C735">
      <w:pPr>
        <w:pStyle w:val="19"/>
        <w:tabs>
          <w:tab w:val="right" w:leader="dot" w:pos="9356"/>
        </w:tabs>
        <w:rPr>
          <w:rFonts w:hint="default" w:ascii="Times New Roman" w:hAnsi="Times New Roman" w:eastAsia="宋体" w:cs="Times New Roman"/>
          <w:b w:val="0"/>
          <w:bCs w:val="0"/>
        </w:rPr>
      </w:pPr>
      <w:r>
        <w:rPr>
          <w:rFonts w:hint="default" w:ascii="Times New Roman" w:hAnsi="Times New Roman" w:cs="Times New Roman"/>
          <w:b w:val="0"/>
          <w:bCs w:val="0"/>
          <w:szCs w:val="21"/>
        </w:rPr>
        <w:fldChar w:fldCharType="begin"/>
      </w:r>
      <w:r>
        <w:rPr>
          <w:rFonts w:hint="default" w:ascii="Times New Roman" w:hAnsi="Times New Roman" w:cs="Times New Roman"/>
          <w:b w:val="0"/>
          <w:bCs w:val="0"/>
          <w:szCs w:val="21"/>
        </w:rPr>
        <w:instrText xml:space="preserve"> TOC \o "1-2" \h \z \u </w:instrText>
      </w:r>
      <w:r>
        <w:rPr>
          <w:rFonts w:hint="default" w:ascii="Times New Roman" w:hAnsi="Times New Roman" w:cs="Times New Roman"/>
          <w:b w:val="0"/>
          <w:bCs w:val="0"/>
          <w:szCs w:val="21"/>
        </w:rPr>
        <w:fldChar w:fldCharType="separate"/>
      </w: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_Toc4472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目    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_Toc4472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I</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EFBAC2E">
      <w:pPr>
        <w:pStyle w:val="19"/>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_Toc28342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前    言</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_Toc28342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III</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6DD2946">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_Toc30885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1 </w:t>
      </w:r>
      <w:r>
        <w:rPr>
          <w:rFonts w:hint="default" w:ascii="Times New Roman" w:hAnsi="Times New Roman" w:eastAsia="宋体" w:cs="Times New Roman"/>
          <w:b w:val="0"/>
          <w:bCs w:val="0"/>
        </w:rPr>
        <w:t>范围</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_Toc30885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065110E3">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_Toc261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2 </w:t>
      </w:r>
      <w:r>
        <w:rPr>
          <w:rFonts w:hint="default" w:ascii="Times New Roman" w:hAnsi="Times New Roman" w:eastAsia="宋体" w:cs="Times New Roman"/>
          <w:b w:val="0"/>
          <w:bCs w:val="0"/>
        </w:rPr>
        <w:t>规范性引用文件</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_Toc261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0F3144C">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_Toc26990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3 </w:t>
      </w:r>
      <w:r>
        <w:rPr>
          <w:rFonts w:hint="default" w:ascii="Times New Roman" w:hAnsi="Times New Roman" w:eastAsia="宋体" w:cs="Times New Roman"/>
          <w:b w:val="0"/>
          <w:bCs w:val="0"/>
        </w:rPr>
        <w:t>术语和定义</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_Toc26990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0C55D7FD">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_Toc7307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4 </w:t>
      </w:r>
      <w:r>
        <w:rPr>
          <w:rFonts w:hint="default" w:ascii="Times New Roman" w:hAnsi="Times New Roman" w:eastAsia="宋体" w:cs="Times New Roman"/>
          <w:b w:val="0"/>
          <w:bCs w:val="0"/>
          <w:szCs w:val="22"/>
        </w:rPr>
        <w:t>基本规定</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_Toc7307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4C8A54D">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_Toc11094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4.1 基本技术要求</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_Toc11094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C26EEF1">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_Toc32508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4.2 室内环境指标</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_Toc32508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3</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AEEE522">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_Toc23208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4.3 建筑能耗及气密性指标</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_Toc23208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4</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474A006">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_Toc32698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5 </w:t>
      </w:r>
      <w:r>
        <w:rPr>
          <w:rFonts w:hint="default" w:ascii="Times New Roman" w:hAnsi="Times New Roman" w:eastAsia="宋体" w:cs="Times New Roman"/>
          <w:b w:val="0"/>
          <w:bCs w:val="0"/>
          <w:szCs w:val="22"/>
        </w:rPr>
        <w:t>设计措施</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_Toc32698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5</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BAA68B8">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_Toc29811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5.1 气候响应设计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_Toc29811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5</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FEAC5C7">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_Toc1514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5.2 围护结构热工设计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_Toc1514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5BF37336">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_Toc28757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5.3 供暖通风与空调设计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_Toc28757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12</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8DB6EC8">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_Toc19344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5.4 给排水设计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_Toc19344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14</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A1C425F">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_Toc17817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5.5 电气设计</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_Toc17817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15</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02FDD0A7">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_Toc25282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6 </w:t>
      </w:r>
      <w:r>
        <w:rPr>
          <w:rFonts w:hint="default" w:ascii="Times New Roman" w:hAnsi="Times New Roman" w:eastAsia="宋体" w:cs="Times New Roman"/>
          <w:b w:val="0"/>
          <w:bCs w:val="0"/>
        </w:rPr>
        <w:t>施工管理</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_Toc25282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7A7E87BC">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_Toc7718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6.1 一般规定</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_Toc7718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B960D77">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_Toc21836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6.2 施工技术要求</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_Toc21836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252C7A5">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_Toc19992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6.3 验收要求</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_Toc19992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18</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A95F647">
      <w:pPr>
        <w:pStyle w:val="18"/>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_Toc14955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zCs w:val="21"/>
        </w:rPr>
        <w:t xml:space="preserve">7 </w:t>
      </w:r>
      <w:r>
        <w:rPr>
          <w:rFonts w:hint="default" w:ascii="Times New Roman" w:hAnsi="Times New Roman" w:eastAsia="宋体" w:cs="Times New Roman"/>
          <w:b w:val="0"/>
          <w:bCs w:val="0"/>
          <w:szCs w:val="22"/>
        </w:rPr>
        <w:t>运行管理</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_Toc14955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19</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875A872">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_Toc7420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7.1 一般规定</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_Toc7420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19</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2B5A9C8D">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_Toc15257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7.2 运行技术要求</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_Toc15257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19</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2593E34F">
      <w:pPr>
        <w:pStyle w:val="19"/>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_Toc20354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pacing w:val="0"/>
          <w:w w:val="100"/>
        </w:rPr>
        <w:t xml:space="preserve">附　录　A </w:t>
      </w:r>
      <w:r>
        <w:rPr>
          <w:rFonts w:hint="default" w:ascii="Times New Roman" w:hAnsi="Times New Roman" w:eastAsia="宋体" w:cs="Times New Roman"/>
          <w:b w:val="0"/>
          <w:bCs w:val="0"/>
        </w:rPr>
        <w:t xml:space="preserve"> （规范性） 建筑能耗计算方法</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_Toc20354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BA06E28">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_Toc31555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A.1 </w:t>
      </w:r>
      <w:r>
        <w:rPr>
          <w:rFonts w:hint="default" w:ascii="Times New Roman" w:hAnsi="Times New Roman" w:eastAsia="宋体" w:cs="Times New Roman"/>
          <w:b w:val="0"/>
          <w:bCs w:val="0"/>
        </w:rPr>
        <w:t>一般规定</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_Toc31555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219C7180">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_Toc10677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szCs w:val="21"/>
          <w:lang w:val="en-US" w:eastAsia="zh-CN"/>
        </w:rPr>
        <w:t>A.</w:t>
      </w:r>
      <w:r>
        <w:rPr>
          <w:rFonts w:hint="eastAsia" w:ascii="Times New Roman" w:cs="Times New Roman"/>
          <w:b w:val="0"/>
          <w:bCs w:val="0"/>
          <w:szCs w:val="21"/>
          <w:lang w:val="en-US" w:eastAsia="zh-CN"/>
        </w:rPr>
        <w:t>2</w:t>
      </w:r>
      <w:r>
        <w:rPr>
          <w:rFonts w:hint="default" w:ascii="Times New Roman" w:hAnsi="Times New Roman" w:eastAsia="宋体" w:cs="Times New Roman"/>
          <w:b w:val="0"/>
          <w:bCs w:val="0"/>
          <w:szCs w:val="21"/>
          <w:lang w:val="en-US" w:eastAsia="zh-CN"/>
        </w:rPr>
        <w:t xml:space="preserve"> </w:t>
      </w:r>
      <w:r>
        <w:rPr>
          <w:rFonts w:hint="default" w:ascii="Times New Roman" w:hAnsi="Times New Roman" w:eastAsia="宋体" w:cs="Times New Roman"/>
          <w:b w:val="0"/>
          <w:bCs w:val="0"/>
          <w:szCs w:val="21"/>
          <w:highlight w:val="none"/>
          <w:lang w:val="en-US" w:eastAsia="zh-CN"/>
        </w:rPr>
        <w:t>计算方法</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_Toc10677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22</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DED66C3">
      <w:pPr>
        <w:pStyle w:val="19"/>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_Toc19506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pacing w:val="0"/>
          <w:w w:val="100"/>
        </w:rPr>
        <w:t xml:space="preserve">附　录　B </w:t>
      </w:r>
      <w:r>
        <w:rPr>
          <w:rFonts w:hint="default" w:ascii="Times New Roman" w:hAnsi="Times New Roman" w:eastAsia="宋体" w:cs="Times New Roman"/>
          <w:b w:val="0"/>
          <w:bCs w:val="0"/>
        </w:rPr>
        <w:t xml:space="preserve"> （规范性） 建筑气密性测试方法</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_Toc19506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24</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45090AC2">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_Toc21103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B.1 </w:t>
      </w:r>
      <w:r>
        <w:rPr>
          <w:rFonts w:hint="default" w:ascii="Times New Roman" w:hAnsi="Times New Roman" w:eastAsia="宋体" w:cs="Times New Roman"/>
          <w:b w:val="0"/>
          <w:bCs w:val="0"/>
        </w:rPr>
        <w:t>一般规定</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_Toc21103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24</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6E1B3F27">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_Toc20747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B.2 </w:t>
      </w:r>
      <w:r>
        <w:rPr>
          <w:rFonts w:hint="default" w:ascii="Times New Roman" w:hAnsi="Times New Roman" w:eastAsia="宋体" w:cs="Times New Roman"/>
          <w:b w:val="0"/>
          <w:bCs w:val="0"/>
        </w:rPr>
        <w:t>压差法</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_Toc20747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25</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0CE5FDDB">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_Toc20971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B.3 </w:t>
      </w:r>
      <w:r>
        <w:rPr>
          <w:rFonts w:hint="default" w:ascii="Times New Roman" w:hAnsi="Times New Roman" w:eastAsia="宋体" w:cs="Times New Roman"/>
          <w:b w:val="0"/>
          <w:bCs w:val="0"/>
        </w:rPr>
        <w:t>示踪气体法</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_Toc20971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25</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0F8006B9">
      <w:pPr>
        <w:pStyle w:val="19"/>
        <w:tabs>
          <w:tab w:val="right" w:leader="dot" w:pos="9356"/>
        </w:tabs>
        <w:rPr>
          <w:rFonts w:hint="default" w:ascii="Times New Roman" w:hAnsi="Times New Roman" w:eastAsia="宋体" w:cs="Times New Roman"/>
          <w:b w:val="0"/>
          <w:bCs w:val="0"/>
          <w:szCs w:val="21"/>
        </w:rPr>
        <w:sectPr>
          <w:footerReference r:id="rId9" w:type="default"/>
          <w:pgSz w:w="11907" w:h="16839"/>
          <w:pgMar w:top="1417" w:right="1134" w:bottom="1134" w:left="1417" w:header="1417" w:footer="1134" w:gutter="0"/>
          <w:pgNumType w:fmt="upperRoman" w:start="1"/>
          <w:cols w:space="425" w:num="1"/>
          <w:docGrid w:type="lines" w:linePitch="312" w:charSpace="0"/>
        </w:sectPr>
      </w:pPr>
    </w:p>
    <w:p w14:paraId="1BA4F2FE">
      <w:pPr>
        <w:pStyle w:val="19"/>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_Toc1828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pacing w:val="0"/>
          <w:w w:val="100"/>
        </w:rPr>
        <w:t xml:space="preserve">附　录　C </w:t>
      </w:r>
      <w:r>
        <w:rPr>
          <w:rFonts w:hint="default" w:ascii="Times New Roman" w:hAnsi="Times New Roman" w:eastAsia="宋体" w:cs="Times New Roman"/>
          <w:b w:val="0"/>
          <w:bCs w:val="0"/>
        </w:rPr>
        <w:t xml:space="preserve"> （规范性） 部品材料技术要求</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_Toc1828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56B1B630">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_Toc30241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C.1 </w:t>
      </w:r>
      <w:r>
        <w:rPr>
          <w:rFonts w:hint="default" w:ascii="Times New Roman" w:hAnsi="Times New Roman" w:eastAsia="宋体" w:cs="Times New Roman"/>
          <w:b w:val="0"/>
          <w:bCs w:val="0"/>
        </w:rPr>
        <w:t>保温材料</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_Toc30241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28CC9563">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_Toc6814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C.2 </w:t>
      </w:r>
      <w:r>
        <w:rPr>
          <w:rFonts w:hint="default" w:ascii="Times New Roman" w:hAnsi="Times New Roman" w:eastAsia="宋体" w:cs="Times New Roman"/>
          <w:b w:val="0"/>
          <w:bCs w:val="0"/>
        </w:rPr>
        <w:t>高性能门窗</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_Toc6814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27</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4ECA4A96">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_Toc16501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napToGrid/>
          <w:spacing w:val="0"/>
          <w:w w:val="100"/>
          <w:kern w:val="21"/>
        </w:rPr>
        <w:t xml:space="preserve">C.3 </w:t>
      </w:r>
      <w:r>
        <w:rPr>
          <w:rFonts w:hint="default" w:ascii="Times New Roman" w:hAnsi="Times New Roman" w:eastAsia="宋体" w:cs="Times New Roman"/>
          <w:b w:val="0"/>
          <w:bCs w:val="0"/>
        </w:rPr>
        <w:t>气密性材料</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_Toc16501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29</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328E5E52">
      <w:pPr>
        <w:pStyle w:val="19"/>
        <w:tabs>
          <w:tab w:val="right" w:leader="dot" w:pos="9356"/>
        </w:tabs>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_Toc7674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i w:val="0"/>
          <w:spacing w:val="0"/>
          <w:w w:val="100"/>
          <w:lang w:val="en-US" w:eastAsia="zh-CN"/>
        </w:rPr>
        <w:t xml:space="preserve">附　录　D </w:t>
      </w:r>
      <w:r>
        <w:rPr>
          <w:rFonts w:hint="default" w:ascii="Times New Roman" w:hAnsi="Times New Roman" w:eastAsia="宋体" w:cs="Times New Roman"/>
          <w:b w:val="0"/>
          <w:bCs w:val="0"/>
        </w:rPr>
        <w:t xml:space="preserve"> （规范性） 公共建筑围护结构建筑节能基本构造主要类型</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_Toc7674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31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3E02413">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_Toc15748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一、屋面</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_Toc15748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31</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60F8669A">
      <w:pPr>
        <w:pStyle w:val="18"/>
        <w:tabs>
          <w:tab w:val="right" w:leader="dot" w:pos="9356"/>
        </w:tabs>
        <w:ind w:firstLine="210" w:firstLineChars="100"/>
        <w:rPr>
          <w:rFonts w:hint="default" w:ascii="Times New Roman" w:hAnsi="Times New Roman" w:eastAsia="宋体"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_Toc1802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二、墙体</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_Toc1802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32</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5AF83A9D">
      <w:pPr>
        <w:pStyle w:val="18"/>
        <w:tabs>
          <w:tab w:val="right" w:leader="dot" w:pos="9356"/>
        </w:tabs>
        <w:ind w:firstLine="210" w:firstLineChars="100"/>
        <w:rPr>
          <w:rFonts w:hint="default" w:ascii="Times New Roman" w:hAnsi="Times New Roman" w:cs="Times New Roman"/>
          <w:b w:val="0"/>
          <w:bCs w:val="0"/>
        </w:rPr>
      </w:pPr>
      <w:r>
        <w:rPr>
          <w:rFonts w:hint="default" w:ascii="Times New Roman" w:hAnsi="Times New Roman" w:eastAsia="宋体" w:cs="Times New Roman"/>
          <w:b w:val="0"/>
          <w:bCs w:val="0"/>
          <w:szCs w:val="21"/>
        </w:rPr>
        <w:fldChar w:fldCharType="begin"/>
      </w:r>
      <w:r>
        <w:rPr>
          <w:rFonts w:hint="default" w:ascii="Times New Roman" w:hAnsi="Times New Roman" w:eastAsia="宋体" w:cs="Times New Roman"/>
          <w:b w:val="0"/>
          <w:bCs w:val="0"/>
          <w:szCs w:val="21"/>
        </w:rPr>
        <w:instrText xml:space="preserve"> HYPERLINK \l _Toc188 </w:instrText>
      </w:r>
      <w:r>
        <w:rPr>
          <w:rFonts w:hint="default" w:ascii="Times New Roman" w:hAnsi="Times New Roman" w:eastAsia="宋体" w:cs="Times New Roman"/>
          <w:b w:val="0"/>
          <w:bCs w:val="0"/>
          <w:szCs w:val="21"/>
        </w:rPr>
        <w:fldChar w:fldCharType="separate"/>
      </w:r>
      <w:r>
        <w:rPr>
          <w:rFonts w:hint="default" w:ascii="Times New Roman" w:hAnsi="Times New Roman" w:eastAsia="宋体" w:cs="Times New Roman"/>
          <w:b w:val="0"/>
          <w:bCs w:val="0"/>
        </w:rPr>
        <w:t>三、外门窗</w:t>
      </w:r>
      <w:r>
        <w:rPr>
          <w:rFonts w:hint="default" w:ascii="Times New Roman" w:hAnsi="Times New Roman" w:eastAsia="宋体" w:cs="Times New Roman"/>
          <w:b w:val="0"/>
          <w:bCs w:val="0"/>
        </w:rPr>
        <w:tab/>
      </w:r>
      <w:r>
        <w:rPr>
          <w:rFonts w:hint="default" w:ascii="Times New Roman" w:hAnsi="Times New Roman" w:eastAsia="宋体" w:cs="Times New Roman"/>
          <w:b w:val="0"/>
          <w:bCs w:val="0"/>
        </w:rPr>
        <w:fldChar w:fldCharType="begin"/>
      </w:r>
      <w:r>
        <w:rPr>
          <w:rFonts w:hint="default" w:ascii="Times New Roman" w:hAnsi="Times New Roman" w:eastAsia="宋体" w:cs="Times New Roman"/>
          <w:b w:val="0"/>
          <w:bCs w:val="0"/>
        </w:rPr>
        <w:instrText xml:space="preserve"> PAGEREF _Toc188 </w:instrText>
      </w:r>
      <w:r>
        <w:rPr>
          <w:rFonts w:hint="default" w:ascii="Times New Roman" w:hAnsi="Times New Roman" w:eastAsia="宋体" w:cs="Times New Roman"/>
          <w:b w:val="0"/>
          <w:bCs w:val="0"/>
        </w:rPr>
        <w:fldChar w:fldCharType="separate"/>
      </w:r>
      <w:r>
        <w:rPr>
          <w:rFonts w:hint="default" w:ascii="Times New Roman" w:hAnsi="Times New Roman" w:eastAsia="宋体" w:cs="Times New Roman"/>
          <w:b w:val="0"/>
          <w:bCs w:val="0"/>
        </w:rPr>
        <w:t>36</w:t>
      </w:r>
      <w:r>
        <w:rPr>
          <w:rFonts w:hint="default" w:ascii="Times New Roman" w:hAnsi="Times New Roman" w:eastAsia="宋体" w:cs="Times New Roman"/>
          <w:b w:val="0"/>
          <w:bCs w:val="0"/>
        </w:rPr>
        <w:fldChar w:fldCharType="end"/>
      </w:r>
      <w:r>
        <w:rPr>
          <w:rFonts w:hint="default" w:ascii="Times New Roman" w:hAnsi="Times New Roman" w:eastAsia="宋体" w:cs="Times New Roman"/>
          <w:b w:val="0"/>
          <w:bCs w:val="0"/>
          <w:szCs w:val="21"/>
        </w:rPr>
        <w:fldChar w:fldCharType="end"/>
      </w:r>
    </w:p>
    <w:p w14:paraId="1F9B662D">
      <w:pPr>
        <w:pStyle w:val="258"/>
        <w:ind w:firstLine="420"/>
      </w:pPr>
      <w:r>
        <w:rPr>
          <w:rFonts w:hint="default" w:ascii="Times New Roman" w:hAnsi="Times New Roman" w:cs="Times New Roman"/>
          <w:b w:val="0"/>
          <w:bCs w:val="0"/>
          <w:szCs w:val="21"/>
        </w:rPr>
        <w:fldChar w:fldCharType="end"/>
      </w:r>
    </w:p>
    <w:p w14:paraId="00D03726">
      <w:pPr>
        <w:pStyle w:val="258"/>
        <w:ind w:firstLine="40"/>
        <w:rPr>
          <w:sz w:val="2"/>
        </w:rPr>
        <w:sectPr>
          <w:pgSz w:w="11907" w:h="16839"/>
          <w:pgMar w:top="1417" w:right="1134" w:bottom="1134" w:left="1417" w:header="1417" w:footer="1134" w:gutter="0"/>
          <w:pgNumType w:fmt="upperRoman"/>
          <w:cols w:space="425" w:num="1"/>
          <w:docGrid w:type="lines" w:linePitch="312" w:charSpace="0"/>
        </w:sectPr>
      </w:pPr>
      <w:bookmarkStart w:id="86" w:name="_GoBack"/>
      <w:bookmarkEnd w:id="86"/>
    </w:p>
    <w:p w14:paraId="55524CEB">
      <w:pPr>
        <w:pStyle w:val="256"/>
      </w:pPr>
      <w:bookmarkStart w:id="4" w:name="标准前言"/>
      <w:bookmarkEnd w:id="4"/>
      <w:bookmarkStart w:id="5" w:name="_Toc73111596"/>
      <w:bookmarkStart w:id="6" w:name="_Toc28342"/>
      <w:r>
        <w:rPr>
          <w:rFonts w:hint="eastAsia"/>
        </w:rPr>
        <w:t>前    言</w:t>
      </w:r>
      <w:bookmarkEnd w:id="5"/>
      <w:bookmarkEnd w:id="6"/>
    </w:p>
    <w:p w14:paraId="3E391374">
      <w:pPr>
        <w:pStyle w:val="258"/>
        <w:spacing w:line="360" w:lineRule="auto"/>
        <w:ind w:firstLine="42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为</w:t>
      </w:r>
      <w:r>
        <w:rPr>
          <w:rFonts w:hint="eastAsia" w:ascii="Times New Roman" w:cs="Times New Roman"/>
          <w:color w:val="auto"/>
          <w:sz w:val="24"/>
          <w:szCs w:val="24"/>
          <w:highlight w:val="none"/>
          <w:lang w:val="en-US" w:eastAsia="zh-CN"/>
        </w:rPr>
        <w:t>深入</w:t>
      </w:r>
      <w:r>
        <w:rPr>
          <w:rFonts w:hint="default" w:ascii="Times New Roman" w:hAnsi="Times New Roman" w:cs="Times New Roman"/>
          <w:color w:val="auto"/>
          <w:sz w:val="24"/>
          <w:szCs w:val="24"/>
          <w:highlight w:val="none"/>
          <w:lang w:val="en-US" w:eastAsia="zh-CN"/>
        </w:rPr>
        <w:t>贯彻党中央、国务院关于“碳达峰、碳中和”决策部署，进一步提升我市建筑能效水平，推动建筑行业绿色低碳发展，结合武汉市气候特点和技术发展水平，编制组在广泛调查研究、参考国内外先进标准及技术经验的基础上，制定本导则。</w:t>
      </w:r>
    </w:p>
    <w:p w14:paraId="3D925406">
      <w:pPr>
        <w:pStyle w:val="258"/>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本导则</w:t>
      </w:r>
      <w:r>
        <w:rPr>
          <w:rFonts w:hint="default" w:ascii="Times New Roman" w:hAnsi="Times New Roman" w:eastAsia="宋体" w:cs="Times New Roman"/>
          <w:color w:val="auto"/>
          <w:sz w:val="24"/>
          <w:szCs w:val="24"/>
          <w:highlight w:val="none"/>
          <w:lang w:val="en-US" w:eastAsia="zh-CN"/>
        </w:rPr>
        <w:t>的主要内容包括：1.范围；2.规范性引用文件；3.术语和定义；4.基本规定；5.</w:t>
      </w:r>
      <w:r>
        <w:rPr>
          <w:rFonts w:hint="eastAsia" w:ascii="Times New Roman" w:hAnsi="Times New Roman" w:cs="Times New Roman"/>
          <w:color w:val="auto"/>
          <w:sz w:val="24"/>
          <w:szCs w:val="24"/>
          <w:highlight w:val="none"/>
          <w:lang w:val="en-US" w:eastAsia="zh-CN"/>
        </w:rPr>
        <w:t>设计措施</w:t>
      </w:r>
      <w:r>
        <w:rPr>
          <w:rFonts w:hint="default" w:ascii="Times New Roman" w:hAnsi="Times New Roman" w:eastAsia="宋体" w:cs="Times New Roman"/>
          <w:color w:val="auto"/>
          <w:sz w:val="24"/>
          <w:szCs w:val="24"/>
          <w:highlight w:val="none"/>
          <w:lang w:val="en-US" w:eastAsia="zh-CN"/>
        </w:rPr>
        <w:t>；6.</w:t>
      </w:r>
      <w:r>
        <w:rPr>
          <w:rFonts w:hint="eastAsia" w:ascii="Times New Roman" w:hAnsi="Times New Roman" w:cs="Times New Roman"/>
          <w:color w:val="auto"/>
          <w:sz w:val="24"/>
          <w:szCs w:val="24"/>
          <w:highlight w:val="none"/>
          <w:lang w:val="en-US" w:eastAsia="zh-CN"/>
        </w:rPr>
        <w:t>施工管理</w:t>
      </w:r>
      <w:r>
        <w:rPr>
          <w:rFonts w:hint="default" w:ascii="Times New Roman" w:hAnsi="Times New Roman" w:eastAsia="宋体" w:cs="Times New Roman"/>
          <w:color w:val="auto"/>
          <w:sz w:val="24"/>
          <w:szCs w:val="24"/>
          <w:highlight w:val="none"/>
          <w:lang w:val="en-US" w:eastAsia="zh-CN"/>
        </w:rPr>
        <w:t>；7.</w:t>
      </w:r>
      <w:r>
        <w:rPr>
          <w:rFonts w:hint="eastAsia" w:ascii="Times New Roman" w:hAnsi="Times New Roman" w:cs="Times New Roman"/>
          <w:color w:val="auto"/>
          <w:sz w:val="24"/>
          <w:szCs w:val="24"/>
          <w:highlight w:val="none"/>
          <w:lang w:val="en-US" w:eastAsia="zh-CN"/>
        </w:rPr>
        <w:t>运行管理</w:t>
      </w:r>
      <w:r>
        <w:rPr>
          <w:rFonts w:hint="default" w:ascii="Times New Roman" w:hAnsi="Times New Roman" w:eastAsia="宋体" w:cs="Times New Roman"/>
          <w:color w:val="auto"/>
          <w:sz w:val="24"/>
          <w:szCs w:val="24"/>
          <w:highlight w:val="none"/>
          <w:lang w:val="en-US" w:eastAsia="zh-CN"/>
        </w:rPr>
        <w:t>计。</w:t>
      </w:r>
    </w:p>
    <w:p w14:paraId="3F8A29B2">
      <w:pPr>
        <w:pStyle w:val="258"/>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导则由武汉市自然资源和城乡建设局负责管理，武汉市绿色建筑发展促进中心负责技术内容解释。执行过程中如有意见或建议，请寄送至武汉市绿色建筑发展促进中心（地址：武汉市江岸区老蔡家田特5号；邮编：430015）。</w:t>
      </w:r>
    </w:p>
    <w:p w14:paraId="7BFB709D">
      <w:pPr>
        <w:pStyle w:val="258"/>
        <w:spacing w:line="360" w:lineRule="auto"/>
        <w:ind w:firstLine="420"/>
        <w:rPr>
          <w:rFonts w:hint="default" w:ascii="Times New Roman" w:hAnsi="Times New Roman" w:eastAsia="宋体" w:cs="Times New Roman"/>
          <w:color w:val="auto"/>
          <w:sz w:val="24"/>
          <w:szCs w:val="24"/>
          <w:highlight w:val="none"/>
          <w:lang w:val="en-US" w:eastAsia="zh-CN"/>
        </w:rPr>
      </w:pPr>
    </w:p>
    <w:p w14:paraId="15C661D6">
      <w:pPr>
        <w:pStyle w:val="258"/>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主编单位：武汉市绿色建筑发展促进中心</w:t>
      </w:r>
    </w:p>
    <w:p w14:paraId="626651A9">
      <w:pPr>
        <w:pStyle w:val="258"/>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          中信建筑设计研究总院有限公司</w:t>
      </w:r>
    </w:p>
    <w:p w14:paraId="05A936BB">
      <w:pPr>
        <w:pStyle w:val="258"/>
        <w:spacing w:line="360" w:lineRule="auto"/>
        <w:ind w:firstLine="420"/>
        <w:rPr>
          <w:rFonts w:hint="default" w:ascii="Times New Roman" w:hAnsi="Times New Roman" w:eastAsia="宋体" w:cs="Times New Roman"/>
          <w:color w:val="auto"/>
          <w:sz w:val="24"/>
          <w:szCs w:val="24"/>
          <w:highlight w:val="none"/>
          <w:lang w:val="en-US" w:eastAsia="zh-CN"/>
        </w:rPr>
      </w:pPr>
    </w:p>
    <w:p w14:paraId="296F239F">
      <w:pPr>
        <w:pStyle w:val="258"/>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主要起草人员：</w:t>
      </w:r>
      <w:r>
        <w:rPr>
          <w:rFonts w:hint="eastAsia" w:ascii="Times New Roman" w:hAnsi="Times New Roman" w:cs="Times New Roman"/>
          <w:color w:val="auto"/>
          <w:sz w:val="24"/>
          <w:szCs w:val="24"/>
          <w:highlight w:val="none"/>
          <w:lang w:val="en-US" w:eastAsia="zh-CN"/>
        </w:rPr>
        <w:t>XXX</w:t>
      </w:r>
    </w:p>
    <w:p w14:paraId="7F29A5F2">
      <w:pPr>
        <w:pStyle w:val="258"/>
        <w:ind w:firstLine="420"/>
      </w:pPr>
    </w:p>
    <w:p w14:paraId="58910F3B">
      <w:pPr>
        <w:pStyle w:val="258"/>
        <w:ind w:firstLine="420"/>
      </w:pPr>
    </w:p>
    <w:p w14:paraId="7C15C45D">
      <w:pPr>
        <w:pStyle w:val="258"/>
        <w:ind w:firstLine="420"/>
        <w:sectPr>
          <w:headerReference r:id="rId10" w:type="default"/>
          <w:pgSz w:w="11907" w:h="16839"/>
          <w:pgMar w:top="1417" w:right="1134" w:bottom="1134" w:left="1417" w:header="1417" w:footer="1134" w:gutter="0"/>
          <w:pgNumType w:fmt="upperRoman"/>
          <w:cols w:space="425" w:num="1"/>
          <w:docGrid w:type="lines" w:linePitch="312" w:charSpace="0"/>
        </w:sectPr>
      </w:pPr>
    </w:p>
    <w:p w14:paraId="362D967E">
      <w:pPr>
        <w:pStyle w:val="316"/>
        <w:outlineLvl w:val="0"/>
      </w:pPr>
      <w:bookmarkStart w:id="7" w:name="标准内容"/>
      <w:bookmarkEnd w:id="7"/>
      <w:bookmarkStart w:id="8" w:name="_Toc103253781"/>
      <w:bookmarkStart w:id="9" w:name="_Toc103097587"/>
      <w:bookmarkStart w:id="10" w:name="_Toc17544"/>
      <w:r>
        <w:rPr>
          <w:rFonts w:hint="eastAsia"/>
        </w:rPr>
        <w:t>武汉市超低能耗建筑技术导则</w:t>
      </w:r>
      <w:bookmarkEnd w:id="8"/>
      <w:bookmarkEnd w:id="9"/>
      <w:bookmarkEnd w:id="10"/>
    </w:p>
    <w:p w14:paraId="47DBE229">
      <w:pPr>
        <w:pStyle w:val="259"/>
        <w:outlineLvl w:val="0"/>
      </w:pPr>
      <w:bookmarkStart w:id="11" w:name="_Toc30885"/>
      <w:bookmarkStart w:id="12" w:name="_Toc73111597"/>
      <w:r>
        <w:rPr>
          <w:rFonts w:hint="eastAsia"/>
        </w:rPr>
        <w:t>范围</w:t>
      </w:r>
      <w:bookmarkEnd w:id="11"/>
      <w:bookmarkEnd w:id="12"/>
    </w:p>
    <w:p w14:paraId="38019338">
      <w:pPr>
        <w:pStyle w:val="258"/>
        <w:tabs>
          <w:tab w:val="center" w:pos="4201"/>
          <w:tab w:val="right" w:leader="dot" w:pos="9298"/>
        </w:tabs>
        <w:ind w:firstLine="420"/>
        <w:rPr>
          <w:szCs w:val="22"/>
        </w:rPr>
      </w:pPr>
      <w:r>
        <w:rPr>
          <w:rFonts w:hint="eastAsia"/>
          <w:szCs w:val="22"/>
        </w:rPr>
        <w:t>本文件规定了超低能耗建筑的基本规定、</w:t>
      </w:r>
      <w:r>
        <w:rPr>
          <w:rFonts w:hint="eastAsia"/>
          <w:szCs w:val="22"/>
          <w:lang w:val="en-US" w:eastAsia="zh-CN"/>
        </w:rPr>
        <w:t>设计措施、施工管理、运行管理</w:t>
      </w:r>
      <w:r>
        <w:rPr>
          <w:rFonts w:hint="eastAsia"/>
          <w:szCs w:val="22"/>
        </w:rPr>
        <w:t>等。</w:t>
      </w:r>
    </w:p>
    <w:p w14:paraId="41930B91">
      <w:pPr>
        <w:pStyle w:val="258"/>
        <w:tabs>
          <w:tab w:val="center" w:pos="4201"/>
          <w:tab w:val="right" w:leader="dot" w:pos="9298"/>
        </w:tabs>
        <w:ind w:firstLine="420"/>
      </w:pPr>
      <w:r>
        <w:rPr>
          <w:rFonts w:hint="eastAsia"/>
        </w:rPr>
        <w:t>本文件适用于</w:t>
      </w:r>
      <w:r>
        <w:rPr>
          <w:rFonts w:hint="eastAsia"/>
          <w:lang w:val="en-US" w:eastAsia="zh-CN"/>
        </w:rPr>
        <w:t>武汉市</w:t>
      </w:r>
      <w:r>
        <w:rPr>
          <w:rFonts w:hint="eastAsia"/>
        </w:rPr>
        <w:t>新建、改建和扩建</w:t>
      </w:r>
      <w:r>
        <w:rPr>
          <w:rFonts w:hint="eastAsia"/>
          <w:lang w:val="en-US" w:eastAsia="zh-CN"/>
        </w:rPr>
        <w:t>的</w:t>
      </w:r>
      <w:r>
        <w:rPr>
          <w:rFonts w:hint="eastAsia"/>
        </w:rPr>
        <w:t>超低能耗建筑</w:t>
      </w:r>
      <w:r>
        <w:rPr>
          <w:rFonts w:hint="eastAsia"/>
          <w:lang w:val="en-US" w:eastAsia="zh-CN"/>
        </w:rPr>
        <w:t>开展</w:t>
      </w:r>
      <w:r>
        <w:rPr>
          <w:rFonts w:hint="eastAsia"/>
        </w:rPr>
        <w:t>设计、施工和运行。</w:t>
      </w:r>
    </w:p>
    <w:p w14:paraId="0D1807BB">
      <w:pPr>
        <w:pStyle w:val="259"/>
        <w:outlineLvl w:val="0"/>
      </w:pPr>
      <w:bookmarkStart w:id="13" w:name="_Toc261"/>
      <w:bookmarkStart w:id="14" w:name="_Toc73111598"/>
      <w:r>
        <w:rPr>
          <w:rFonts w:hint="eastAsia"/>
        </w:rPr>
        <w:t>规范性引用文件</w:t>
      </w:r>
      <w:bookmarkEnd w:id="13"/>
      <w:bookmarkEnd w:id="14"/>
    </w:p>
    <w:p w14:paraId="3C247E10">
      <w:pPr>
        <w:pStyle w:val="258"/>
        <w:ind w:firstLine="420"/>
      </w:pPr>
      <w:r>
        <w:rPr>
          <w:rFonts w:hint="eastAsia"/>
        </w:rPr>
        <w:t>下列文件中的</w:t>
      </w:r>
      <w:r>
        <w:t>内容通过文中</w:t>
      </w:r>
      <w:r>
        <w:rPr>
          <w:rFonts w:hint="eastAsia"/>
        </w:rPr>
        <w:t>的</w:t>
      </w:r>
      <w:r>
        <w:t>规范性引用而构成本文件必不可少的条款。其中</w:t>
      </w:r>
      <w:r>
        <w:rPr>
          <w:rFonts w:hint="eastAsia"/>
        </w:rPr>
        <w:t>，</w:t>
      </w:r>
      <w:r>
        <w:t>注日期的引用文件，</w:t>
      </w:r>
      <w:r>
        <w:rPr>
          <w:rFonts w:hint="eastAsia"/>
        </w:rPr>
        <w:t>仅</w:t>
      </w:r>
      <w:r>
        <w:t>该日期对应的版本</w:t>
      </w:r>
      <w:r>
        <w:rPr>
          <w:rFonts w:hint="eastAsia"/>
        </w:rPr>
        <w:t>适用</w:t>
      </w:r>
      <w:r>
        <w:t>于本文件；不注日期的引用文件，其最新版本（</w:t>
      </w:r>
      <w:r>
        <w:rPr>
          <w:rFonts w:hint="eastAsia"/>
        </w:rPr>
        <w:t>包括</w:t>
      </w:r>
      <w:r>
        <w:t>所有的修改单）</w:t>
      </w:r>
      <w:r>
        <w:rPr>
          <w:rFonts w:hint="eastAsia"/>
        </w:rPr>
        <w:t>适用</w:t>
      </w:r>
      <w:r>
        <w:t>于本文件</w:t>
      </w:r>
      <w:r>
        <w:rPr>
          <w:rFonts w:hint="eastAsia"/>
        </w:rPr>
        <w:t>。</w:t>
      </w:r>
    </w:p>
    <w:p w14:paraId="259819AE">
      <w:pPr>
        <w:pStyle w:val="258"/>
        <w:tabs>
          <w:tab w:val="center" w:pos="4201"/>
          <w:tab w:val="right" w:leader="dot" w:pos="9298"/>
        </w:tabs>
        <w:ind w:firstLine="420"/>
        <w:rPr>
          <w:szCs w:val="22"/>
        </w:rPr>
      </w:pPr>
      <w:r>
        <w:rPr>
          <w:rFonts w:ascii="Times New Roman"/>
          <w:szCs w:val="22"/>
        </w:rPr>
        <w:t>GB 50015</w:t>
      </w:r>
      <w:r>
        <w:rPr>
          <w:rFonts w:hint="eastAsia"/>
          <w:szCs w:val="22"/>
        </w:rPr>
        <w:t xml:space="preserve"> 建筑给水排水设计标准</w:t>
      </w:r>
    </w:p>
    <w:p w14:paraId="2EC69625">
      <w:pPr>
        <w:pStyle w:val="258"/>
        <w:tabs>
          <w:tab w:val="center" w:pos="4201"/>
          <w:tab w:val="right" w:leader="dot" w:pos="9298"/>
        </w:tabs>
        <w:ind w:firstLine="420"/>
        <w:rPr>
          <w:szCs w:val="22"/>
        </w:rPr>
      </w:pPr>
      <w:r>
        <w:rPr>
          <w:rFonts w:ascii="Times New Roman"/>
          <w:szCs w:val="22"/>
        </w:rPr>
        <w:t>GB 50176</w:t>
      </w:r>
      <w:r>
        <w:rPr>
          <w:rFonts w:hint="eastAsia"/>
          <w:szCs w:val="22"/>
        </w:rPr>
        <w:t xml:space="preserve"> 民用建筑热工设计规范</w:t>
      </w:r>
    </w:p>
    <w:p w14:paraId="69331FCF">
      <w:pPr>
        <w:pStyle w:val="258"/>
        <w:tabs>
          <w:tab w:val="center" w:pos="4201"/>
          <w:tab w:val="right" w:leader="dot" w:pos="9298"/>
        </w:tabs>
        <w:ind w:firstLine="420"/>
        <w:rPr>
          <w:szCs w:val="22"/>
        </w:rPr>
      </w:pPr>
      <w:r>
        <w:rPr>
          <w:rFonts w:ascii="Times New Roman"/>
          <w:szCs w:val="22"/>
        </w:rPr>
        <w:t>GB 50189</w:t>
      </w:r>
      <w:r>
        <w:rPr>
          <w:rFonts w:hint="eastAsia"/>
          <w:szCs w:val="22"/>
        </w:rPr>
        <w:t xml:space="preserve"> 公共建筑节能设计标准</w:t>
      </w:r>
    </w:p>
    <w:p w14:paraId="63CC3FC4">
      <w:pPr>
        <w:pStyle w:val="258"/>
        <w:tabs>
          <w:tab w:val="center" w:pos="4201"/>
          <w:tab w:val="right" w:leader="dot" w:pos="9298"/>
        </w:tabs>
        <w:ind w:firstLine="420"/>
        <w:rPr>
          <w:szCs w:val="22"/>
        </w:rPr>
      </w:pPr>
      <w:r>
        <w:rPr>
          <w:rFonts w:ascii="Times New Roman"/>
          <w:szCs w:val="22"/>
        </w:rPr>
        <w:t>GB 50555</w:t>
      </w:r>
      <w:r>
        <w:rPr>
          <w:rFonts w:hint="eastAsia"/>
          <w:szCs w:val="22"/>
        </w:rPr>
        <w:t xml:space="preserve"> 民用建筑节水设计标准</w:t>
      </w:r>
    </w:p>
    <w:p w14:paraId="589B6D7C">
      <w:pPr>
        <w:pStyle w:val="258"/>
        <w:tabs>
          <w:tab w:val="center" w:pos="4201"/>
          <w:tab w:val="right" w:leader="dot" w:pos="9298"/>
        </w:tabs>
        <w:ind w:firstLine="420"/>
        <w:rPr>
          <w:szCs w:val="22"/>
        </w:rPr>
      </w:pPr>
      <w:r>
        <w:rPr>
          <w:rFonts w:ascii="Times New Roman"/>
          <w:szCs w:val="22"/>
        </w:rPr>
        <w:t>GB 50736</w:t>
      </w:r>
      <w:r>
        <w:rPr>
          <w:rFonts w:hint="eastAsia"/>
          <w:szCs w:val="22"/>
        </w:rPr>
        <w:t xml:space="preserve"> 民用建筑供暖通风与空气调节设计规范</w:t>
      </w:r>
    </w:p>
    <w:p w14:paraId="50D30F79">
      <w:pPr>
        <w:pStyle w:val="258"/>
        <w:tabs>
          <w:tab w:val="center" w:pos="4201"/>
          <w:tab w:val="right" w:leader="dot" w:pos="9298"/>
        </w:tabs>
        <w:ind w:firstLine="420"/>
        <w:rPr>
          <w:szCs w:val="22"/>
        </w:rPr>
      </w:pPr>
      <w:r>
        <w:rPr>
          <w:rFonts w:ascii="Times New Roman"/>
          <w:szCs w:val="22"/>
        </w:rPr>
        <w:t>GB 55015</w:t>
      </w:r>
      <w:r>
        <w:rPr>
          <w:rFonts w:hint="eastAsia"/>
          <w:szCs w:val="22"/>
        </w:rPr>
        <w:t xml:space="preserve"> 建筑节能与可再生能源利用通用规范</w:t>
      </w:r>
    </w:p>
    <w:p w14:paraId="7CACCB78">
      <w:pPr>
        <w:pStyle w:val="258"/>
        <w:tabs>
          <w:tab w:val="center" w:pos="4201"/>
          <w:tab w:val="right" w:leader="dot" w:pos="9298"/>
        </w:tabs>
        <w:ind w:firstLine="420"/>
        <w:rPr>
          <w:szCs w:val="22"/>
        </w:rPr>
      </w:pPr>
      <w:r>
        <w:rPr>
          <w:rFonts w:ascii="Times New Roman"/>
          <w:szCs w:val="22"/>
        </w:rPr>
        <w:t>GB 55016</w:t>
      </w:r>
      <w:r>
        <w:rPr>
          <w:rFonts w:hint="eastAsia"/>
          <w:szCs w:val="22"/>
        </w:rPr>
        <w:t xml:space="preserve"> 建筑环境通用规范</w:t>
      </w:r>
    </w:p>
    <w:p w14:paraId="483D7414">
      <w:pPr>
        <w:pStyle w:val="258"/>
        <w:tabs>
          <w:tab w:val="center" w:pos="4201"/>
          <w:tab w:val="right" w:leader="dot" w:pos="9298"/>
        </w:tabs>
        <w:ind w:firstLine="420"/>
        <w:rPr>
          <w:szCs w:val="22"/>
        </w:rPr>
      </w:pPr>
      <w:r>
        <w:rPr>
          <w:rFonts w:ascii="Times New Roman"/>
          <w:szCs w:val="22"/>
        </w:rPr>
        <w:t>GB 55020</w:t>
      </w:r>
      <w:r>
        <w:rPr>
          <w:rFonts w:hint="eastAsia"/>
          <w:szCs w:val="22"/>
        </w:rPr>
        <w:t xml:space="preserve"> 建筑给水排水与节水通用规范</w:t>
      </w:r>
    </w:p>
    <w:p w14:paraId="5ADDDB14">
      <w:pPr>
        <w:pStyle w:val="258"/>
        <w:tabs>
          <w:tab w:val="center" w:pos="4201"/>
          <w:tab w:val="right" w:leader="dot" w:pos="9298"/>
        </w:tabs>
        <w:ind w:firstLine="420"/>
        <w:rPr>
          <w:rFonts w:ascii="Times New Roman"/>
          <w:szCs w:val="22"/>
        </w:rPr>
      </w:pPr>
      <w:r>
        <w:rPr>
          <w:rFonts w:ascii="Times New Roman"/>
          <w:szCs w:val="22"/>
        </w:rPr>
        <w:t>GB/T 50378</w:t>
      </w:r>
      <w:r>
        <w:rPr>
          <w:rFonts w:hint="eastAsia"/>
          <w:szCs w:val="22"/>
        </w:rPr>
        <w:t xml:space="preserve"> 绿色建筑评价标准</w:t>
      </w:r>
    </w:p>
    <w:p w14:paraId="1951539C">
      <w:pPr>
        <w:pStyle w:val="258"/>
        <w:tabs>
          <w:tab w:val="center" w:pos="4201"/>
          <w:tab w:val="right" w:leader="dot" w:pos="9298"/>
        </w:tabs>
        <w:ind w:firstLine="420"/>
        <w:rPr>
          <w:szCs w:val="22"/>
        </w:rPr>
      </w:pPr>
      <w:r>
        <w:rPr>
          <w:rFonts w:ascii="Times New Roman"/>
          <w:szCs w:val="22"/>
        </w:rPr>
        <w:t>GB/T 51350</w:t>
      </w:r>
      <w:r>
        <w:rPr>
          <w:rFonts w:hint="eastAsia"/>
          <w:szCs w:val="22"/>
        </w:rPr>
        <w:t xml:space="preserve"> 近零能耗建筑技术标准</w:t>
      </w:r>
    </w:p>
    <w:p w14:paraId="50A60035">
      <w:pPr>
        <w:pStyle w:val="258"/>
        <w:tabs>
          <w:tab w:val="center" w:pos="4201"/>
          <w:tab w:val="right" w:leader="dot" w:pos="9298"/>
        </w:tabs>
        <w:ind w:firstLine="420"/>
        <w:rPr>
          <w:szCs w:val="22"/>
        </w:rPr>
      </w:pPr>
      <w:r>
        <w:rPr>
          <w:rFonts w:ascii="Times New Roman"/>
          <w:szCs w:val="22"/>
        </w:rPr>
        <w:t>JGJ/T 449</w:t>
      </w:r>
      <w:r>
        <w:rPr>
          <w:rFonts w:hint="eastAsia"/>
          <w:szCs w:val="22"/>
        </w:rPr>
        <w:t xml:space="preserve"> 民用建筑绿色性能计算标准</w:t>
      </w:r>
    </w:p>
    <w:p w14:paraId="0EB16694">
      <w:pPr>
        <w:pStyle w:val="258"/>
        <w:tabs>
          <w:tab w:val="center" w:pos="4201"/>
          <w:tab w:val="right" w:leader="dot" w:pos="9298"/>
        </w:tabs>
        <w:ind w:firstLine="420"/>
        <w:rPr>
          <w:szCs w:val="22"/>
        </w:rPr>
      </w:pPr>
      <w:r>
        <w:rPr>
          <w:rFonts w:ascii="Times New Roman"/>
          <w:szCs w:val="22"/>
        </w:rPr>
        <w:t>DB42/T 559</w:t>
      </w:r>
      <w:r>
        <w:rPr>
          <w:rFonts w:hint="eastAsia"/>
          <w:szCs w:val="22"/>
        </w:rPr>
        <w:t xml:space="preserve"> 低能耗居住建筑节能设计标准</w:t>
      </w:r>
    </w:p>
    <w:p w14:paraId="5CFDCFDC">
      <w:pPr>
        <w:pStyle w:val="258"/>
        <w:tabs>
          <w:tab w:val="center" w:pos="4201"/>
          <w:tab w:val="right" w:leader="dot" w:pos="9298"/>
        </w:tabs>
        <w:ind w:firstLine="420"/>
        <w:rPr>
          <w:szCs w:val="22"/>
        </w:rPr>
      </w:pPr>
      <w:r>
        <w:rPr>
          <w:rFonts w:ascii="Times New Roman"/>
          <w:szCs w:val="22"/>
        </w:rPr>
        <w:t>DB42/T 1319</w:t>
      </w:r>
      <w:r>
        <w:rPr>
          <w:rFonts w:hint="eastAsia"/>
          <w:szCs w:val="22"/>
        </w:rPr>
        <w:t xml:space="preserve"> 湖北省绿色建筑设计与工程验收标准</w:t>
      </w:r>
    </w:p>
    <w:p w14:paraId="7D6FF00B">
      <w:pPr>
        <w:pStyle w:val="258"/>
        <w:tabs>
          <w:tab w:val="center" w:pos="4201"/>
          <w:tab w:val="right" w:leader="dot" w:pos="9298"/>
        </w:tabs>
        <w:ind w:firstLine="420"/>
        <w:rPr>
          <w:szCs w:val="22"/>
        </w:rPr>
      </w:pPr>
      <w:bookmarkStart w:id="15" w:name="OLE_LINK1"/>
      <w:r>
        <w:rPr>
          <w:rFonts w:ascii="Times New Roman"/>
          <w:szCs w:val="22"/>
        </w:rPr>
        <w:t>DB42/T 1757</w:t>
      </w:r>
      <w:bookmarkEnd w:id="15"/>
      <w:r>
        <w:rPr>
          <w:szCs w:val="22"/>
        </w:rPr>
        <w:t xml:space="preserve"> </w:t>
      </w:r>
      <w:r>
        <w:rPr>
          <w:rFonts w:hint="eastAsia"/>
          <w:szCs w:val="22"/>
        </w:rPr>
        <w:t>湖北省被动式超低能耗居住建筑节能设计规范</w:t>
      </w:r>
    </w:p>
    <w:p w14:paraId="48C2E543">
      <w:pPr>
        <w:pStyle w:val="258"/>
        <w:tabs>
          <w:tab w:val="center" w:pos="4201"/>
          <w:tab w:val="right" w:leader="dot" w:pos="9298"/>
        </w:tabs>
        <w:ind w:firstLine="420"/>
        <w:rPr>
          <w:szCs w:val="22"/>
        </w:rPr>
      </w:pPr>
      <w:r>
        <w:rPr>
          <w:rFonts w:ascii="Times New Roman"/>
          <w:szCs w:val="22"/>
        </w:rPr>
        <w:t>T/CECS704</w:t>
      </w:r>
      <w:r>
        <w:rPr>
          <w:rFonts w:hint="eastAsia"/>
          <w:szCs w:val="22"/>
        </w:rPr>
        <w:t xml:space="preserve"> 建筑整体气密性检测及性能评价标准</w:t>
      </w:r>
    </w:p>
    <w:p w14:paraId="75138759">
      <w:pPr>
        <w:pStyle w:val="259"/>
        <w:outlineLvl w:val="0"/>
      </w:pPr>
      <w:bookmarkStart w:id="16" w:name="_Toc73111599"/>
      <w:bookmarkStart w:id="17" w:name="_Toc26990"/>
      <w:r>
        <w:rPr>
          <w:rFonts w:hint="eastAsia"/>
        </w:rPr>
        <w:t>术语</w:t>
      </w:r>
      <w:r>
        <w:t>和定义</w:t>
      </w:r>
      <w:bookmarkEnd w:id="16"/>
      <w:bookmarkEnd w:id="17"/>
    </w:p>
    <w:p w14:paraId="35645E68">
      <w:pPr>
        <w:pStyle w:val="258"/>
        <w:numPr>
          <w:ilvl w:val="0"/>
          <w:numId w:val="32"/>
        </w:numPr>
        <w:ind w:firstLineChars="0"/>
        <w:outlineLvl w:val="2"/>
        <w:rPr>
          <w:rFonts w:ascii="黑体" w:hAnsi="黑体" w:eastAsia="黑体"/>
        </w:rPr>
      </w:pPr>
      <w:r>
        <w:rPr>
          <w:rFonts w:hint="eastAsia" w:ascii="黑体" w:hAnsi="黑体" w:eastAsia="黑体"/>
        </w:rPr>
        <w:t>超低能耗建筑</w:t>
      </w:r>
    </w:p>
    <w:p w14:paraId="207BDFF2">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适应地域气候特征和场地环境条件，在充分利用被动式建筑技术手段最大幅度降低公共建筑供暖、空调、照明能耗需求基础上，通过主动技术措施最大幅度提高能源设备与系统效率，充分利用可再生能源，以最少的能源消耗提供舒适宜人的建筑室内环境，</w:t>
      </w:r>
      <w:r>
        <w:rPr>
          <w:rFonts w:hint="eastAsia" w:ascii="Times New Roman" w:cs="Times New Roman"/>
          <w:szCs w:val="22"/>
          <w:lang w:val="en-US" w:eastAsia="zh-CN"/>
        </w:rPr>
        <w:t>居住</w:t>
      </w:r>
      <w:r>
        <w:rPr>
          <w:rFonts w:hint="default" w:ascii="Times New Roman" w:hAnsi="Times New Roman" w:cs="Times New Roman"/>
          <w:szCs w:val="22"/>
        </w:rPr>
        <w:t>建筑</w:t>
      </w:r>
      <w:r>
        <w:rPr>
          <w:rFonts w:hint="eastAsia" w:ascii="Times New Roman" w:cs="Times New Roman"/>
          <w:szCs w:val="22"/>
          <w:lang w:val="en-US" w:eastAsia="zh-CN"/>
        </w:rPr>
        <w:t>和公共建筑</w:t>
      </w:r>
      <w:r>
        <w:rPr>
          <w:rFonts w:hint="default" w:ascii="Times New Roman" w:hAnsi="Times New Roman" w:cs="Times New Roman"/>
          <w:szCs w:val="22"/>
        </w:rPr>
        <w:t>能耗水平应较国家标准《建筑节能与可再生能源利用通用规范》GB55015-2021</w:t>
      </w:r>
      <w:r>
        <w:rPr>
          <w:rFonts w:hint="eastAsia" w:ascii="Times New Roman" w:cs="Times New Roman"/>
          <w:szCs w:val="22"/>
          <w:lang w:val="en-US" w:eastAsia="zh-CN"/>
        </w:rPr>
        <w:t>分别</w:t>
      </w:r>
      <w:r>
        <w:rPr>
          <w:rFonts w:hint="default" w:ascii="Times New Roman" w:hAnsi="Times New Roman" w:cs="Times New Roman"/>
          <w:szCs w:val="22"/>
        </w:rPr>
        <w:t>降低</w:t>
      </w:r>
      <w:r>
        <w:rPr>
          <w:rFonts w:hint="eastAsia" w:ascii="Times New Roman" w:cs="Times New Roman"/>
          <w:szCs w:val="22"/>
          <w:lang w:val="en-US" w:eastAsia="zh-CN"/>
        </w:rPr>
        <w:t>28.57%、</w:t>
      </w:r>
      <w:r>
        <w:rPr>
          <w:rFonts w:hint="default" w:ascii="Times New Roman" w:hAnsi="Times New Roman" w:cs="Times New Roman"/>
          <w:szCs w:val="22"/>
        </w:rPr>
        <w:t>37.5</w:t>
      </w:r>
      <w:r>
        <w:rPr>
          <w:rFonts w:hint="eastAsia" w:ascii="Times New Roman" w:cs="Times New Roman"/>
          <w:szCs w:val="22"/>
          <w:lang w:val="en-US" w:eastAsia="zh-CN"/>
        </w:rPr>
        <w:t>0</w:t>
      </w:r>
      <w:r>
        <w:rPr>
          <w:rFonts w:hint="default" w:ascii="Times New Roman" w:hAnsi="Times New Roman" w:cs="Times New Roman"/>
          <w:szCs w:val="22"/>
        </w:rPr>
        <w:t>%以上。</w:t>
      </w:r>
    </w:p>
    <w:p w14:paraId="10C384D7">
      <w:pPr>
        <w:pStyle w:val="258"/>
        <w:tabs>
          <w:tab w:val="center" w:pos="4201"/>
          <w:tab w:val="right" w:leader="dot" w:pos="9298"/>
        </w:tabs>
        <w:ind w:left="0" w:leftChars="0" w:firstLine="0" w:firstLineChars="0"/>
        <w:rPr>
          <w:rFonts w:hint="eastAsia" w:ascii="Times New Roman" w:hAnsi="Times New Roman" w:eastAsia="宋体" w:cs="Times New Roman"/>
          <w:szCs w:val="22"/>
          <w:lang w:eastAsia="zh-CN"/>
        </w:rPr>
      </w:pPr>
      <w:r>
        <w:rPr>
          <w:rFonts w:hint="eastAsia" w:ascii="Times New Roman" w:hAnsi="Times New Roman" w:cs="Times New Roman"/>
          <w:color w:val="0000FF"/>
          <w:szCs w:val="21"/>
        </w:rPr>
        <w:t>【条文说明】超低能耗建筑的定义包括节能水平和技术路线。关于超低能耗建筑的节能水平，需要和我国 1986~2016 年的建筑节能 30%、50%、65%的三步走进行合理衔接。根据国家标准《近零能耗建筑技术标准》GB/T51350-2019 确定的原则，超低能耗建筑的节能水平应较 2016 年所执行的标准再降低 50%以上，据此研究确定了超低能耗建筑的能效指标</w:t>
      </w:r>
      <w:r>
        <w:rPr>
          <w:rFonts w:hint="eastAsia" w:ascii="Times New Roman" w:hAnsi="Times New Roman" w:cs="Times New Roman"/>
          <w:color w:val="0000FF"/>
          <w:szCs w:val="21"/>
          <w:lang w:eastAsia="zh-CN"/>
        </w:rPr>
        <w:t>。</w:t>
      </w:r>
    </w:p>
    <w:p w14:paraId="760572C3">
      <w:pPr>
        <w:pStyle w:val="258"/>
        <w:numPr>
          <w:ilvl w:val="0"/>
          <w:numId w:val="32"/>
        </w:numPr>
        <w:ind w:firstLineChars="0"/>
        <w:outlineLvl w:val="2"/>
        <w:rPr>
          <w:rFonts w:ascii="黑体" w:hAnsi="黑体" w:eastAsia="黑体"/>
        </w:rPr>
      </w:pPr>
      <w:r>
        <w:rPr>
          <w:rFonts w:hint="eastAsia" w:ascii="黑体" w:hAnsi="黑体" w:eastAsia="黑体"/>
        </w:rPr>
        <w:t>性能化设计</w:t>
      </w:r>
    </w:p>
    <w:p w14:paraId="4C504094">
      <w:pPr>
        <w:pStyle w:val="258"/>
        <w:ind w:firstLine="420"/>
      </w:pPr>
      <w:r>
        <w:rPr>
          <w:rFonts w:hint="eastAsia"/>
        </w:rPr>
        <w:t>以建筑室内环境参数和能耗指标为性能目标，利用能耗模拟计算软件，对设计方案进行逐步优化，最终达到预定性能目标要求的设计过程。</w:t>
      </w:r>
    </w:p>
    <w:p w14:paraId="34BE3E48">
      <w:pPr>
        <w:pStyle w:val="258"/>
        <w:numPr>
          <w:ilvl w:val="0"/>
          <w:numId w:val="32"/>
        </w:numPr>
        <w:ind w:firstLineChars="0"/>
        <w:outlineLvl w:val="2"/>
        <w:rPr>
          <w:rFonts w:ascii="黑体" w:hAnsi="黑体" w:eastAsia="黑体"/>
        </w:rPr>
      </w:pPr>
      <w:r>
        <w:rPr>
          <w:rFonts w:hint="eastAsia" w:ascii="黑体" w:hAnsi="黑体" w:eastAsia="黑体"/>
          <w:lang w:val="en-US" w:eastAsia="zh-CN"/>
        </w:rPr>
        <w:t>建筑能耗综合值</w:t>
      </w:r>
    </w:p>
    <w:p w14:paraId="32F008A2">
      <w:pPr>
        <w:overflowPunct w:val="0"/>
        <w:ind w:firstLine="420" w:firstLineChars="200"/>
        <w:rPr>
          <w:rFonts w:ascii="Times New Roman" w:hAnsi="Times New Roman" w:cs="Times New Roman"/>
          <w:szCs w:val="21"/>
        </w:rPr>
      </w:pPr>
      <w:r>
        <w:rPr>
          <w:rFonts w:hint="eastAsia" w:ascii="Times New Roman" w:hAnsi="Times New Roman" w:cs="Times New Roman"/>
          <w:szCs w:val="21"/>
        </w:rPr>
        <w:t>在设定计算条件下，单位面积年供暖空调、照明、生活热水和电梯终端能耗量与可再生能源系统发电量，利用一次能源换算系数统一换算到标准煤当量后两者的差值。</w:t>
      </w:r>
    </w:p>
    <w:p w14:paraId="132F4FBC">
      <w:pPr>
        <w:overflowPunct w:val="0"/>
        <w:rPr>
          <w:rFonts w:hint="eastAsia"/>
          <w:szCs w:val="22"/>
        </w:rPr>
      </w:pPr>
      <w:r>
        <w:rPr>
          <w:rFonts w:hint="eastAsia" w:ascii="Times New Roman" w:hAnsi="Times New Roman" w:cs="Times New Roman"/>
          <w:color w:val="0000FF"/>
          <w:szCs w:val="21"/>
        </w:rPr>
        <w:t>【条文说明】建筑能耗综合值为换算到标准煤当量的建筑能源消耗量，体现了建筑对化石能源的消耗和对环境的影响程度。本标准中的建筑能耗范围并非建筑全部能耗，而是限定在供暖空调、照明、生活热水和电梯，其中新风系统的能耗纳入供暖空调能耗中。上述范围内的能耗是公共建筑能耗的主要组成部分，可量化计算且设计可控性强。其他如插座等能耗与建筑的实际使用方式等相关度较大，均为建筑设计不可控因素且在设计阶段准确计算存在一定难度，在本标准中不考虑。</w:t>
      </w:r>
    </w:p>
    <w:p w14:paraId="62A0259E">
      <w:pPr>
        <w:pStyle w:val="258"/>
        <w:numPr>
          <w:ilvl w:val="0"/>
          <w:numId w:val="32"/>
        </w:numPr>
        <w:ind w:firstLineChars="0"/>
        <w:outlineLvl w:val="2"/>
        <w:rPr>
          <w:rFonts w:ascii="黑体" w:hAnsi="黑体" w:eastAsia="黑体"/>
        </w:rPr>
      </w:pPr>
      <w:r>
        <w:rPr>
          <w:rFonts w:hint="eastAsia" w:ascii="黑体" w:hAnsi="黑体" w:eastAsia="黑体"/>
        </w:rPr>
        <w:t>供暖年耗热量</w:t>
      </w:r>
    </w:p>
    <w:p w14:paraId="6BFB5EF1">
      <w:pPr>
        <w:pStyle w:val="258"/>
        <w:ind w:firstLine="420"/>
      </w:pPr>
      <w:r>
        <w:rPr>
          <w:rFonts w:hint="eastAsia"/>
        </w:rPr>
        <w:t>在设定计算条件下，为满足室内环境参数要求，单位面积年累计消耗的需由室内供暖设备供给的热量，单位为kWh/(m</w:t>
      </w:r>
      <w:r>
        <w:rPr>
          <w:rFonts w:hint="eastAsia"/>
          <w:vertAlign w:val="superscript"/>
        </w:rPr>
        <w:t>2</w:t>
      </w:r>
      <w:r>
        <w:rPr>
          <w:rFonts w:hint="eastAsia"/>
        </w:rPr>
        <w:t>•a)。</w:t>
      </w:r>
    </w:p>
    <w:p w14:paraId="0622753C">
      <w:pPr>
        <w:pStyle w:val="258"/>
        <w:numPr>
          <w:ilvl w:val="0"/>
          <w:numId w:val="32"/>
        </w:numPr>
        <w:ind w:firstLineChars="0"/>
        <w:outlineLvl w:val="2"/>
        <w:rPr>
          <w:rFonts w:ascii="黑体" w:hAnsi="黑体" w:eastAsia="黑体"/>
        </w:rPr>
      </w:pPr>
      <w:r>
        <w:rPr>
          <w:rFonts w:hint="eastAsia" w:ascii="黑体" w:hAnsi="黑体" w:eastAsia="黑体"/>
        </w:rPr>
        <w:t>供冷年耗冷量</w:t>
      </w:r>
    </w:p>
    <w:p w14:paraId="29028EC5">
      <w:pPr>
        <w:pStyle w:val="258"/>
        <w:ind w:firstLine="420"/>
      </w:pPr>
      <w:r>
        <w:rPr>
          <w:rFonts w:hint="eastAsia"/>
        </w:rPr>
        <w:t>在设定计算条件下，为满足室内环境参数要求，单位面积年累计消耗的需由室内供冷设备供给的冷量，单位为kWh/(m</w:t>
      </w:r>
      <w:r>
        <w:rPr>
          <w:rFonts w:hint="eastAsia"/>
          <w:vertAlign w:val="superscript"/>
        </w:rPr>
        <w:t>2</w:t>
      </w:r>
      <w:r>
        <w:rPr>
          <w:rFonts w:hint="eastAsia"/>
        </w:rPr>
        <w:t>•a)。</w:t>
      </w:r>
    </w:p>
    <w:p w14:paraId="5983D615">
      <w:pPr>
        <w:pStyle w:val="258"/>
        <w:numPr>
          <w:ilvl w:val="0"/>
          <w:numId w:val="32"/>
        </w:numPr>
        <w:ind w:firstLineChars="0"/>
        <w:outlineLvl w:val="2"/>
        <w:rPr>
          <w:rFonts w:ascii="黑体" w:hAnsi="黑体" w:eastAsia="黑体"/>
        </w:rPr>
      </w:pPr>
      <w:r>
        <w:rPr>
          <w:rFonts w:hint="eastAsia" w:ascii="黑体" w:hAnsi="黑体" w:eastAsia="黑体"/>
          <w:lang w:val="en-US" w:eastAsia="zh-CN"/>
        </w:rPr>
        <w:t>建筑综合节能率</w:t>
      </w:r>
    </w:p>
    <w:p w14:paraId="65CE5E80">
      <w:pPr>
        <w:overflowPunct w:val="0"/>
        <w:ind w:firstLine="420" w:firstLineChars="200"/>
      </w:pPr>
      <w:r>
        <w:rPr>
          <w:rFonts w:hint="eastAsia" w:ascii="Times New Roman" w:hAnsi="Times New Roman" w:cs="Times New Roman"/>
          <w:szCs w:val="21"/>
        </w:rPr>
        <w:t>基准建筑和设计建筑的建筑能耗综合值差值，与基准建筑的建筑能耗综合值的比值。</w:t>
      </w:r>
    </w:p>
    <w:p w14:paraId="22E2ECF6">
      <w:pPr>
        <w:pStyle w:val="258"/>
        <w:numPr>
          <w:ilvl w:val="0"/>
          <w:numId w:val="32"/>
        </w:numPr>
        <w:ind w:firstLineChars="0"/>
        <w:outlineLvl w:val="2"/>
        <w:rPr>
          <w:rFonts w:ascii="黑体" w:hAnsi="黑体" w:eastAsia="黑体"/>
        </w:rPr>
      </w:pPr>
      <w:r>
        <w:rPr>
          <w:rFonts w:hint="eastAsia" w:ascii="黑体" w:hAnsi="黑体" w:eastAsia="黑体"/>
        </w:rPr>
        <w:t>建筑</w:t>
      </w:r>
      <w:r>
        <w:rPr>
          <w:rFonts w:hint="eastAsia" w:ascii="黑体" w:hAnsi="黑体" w:eastAsia="黑体"/>
          <w:lang w:val="en-US" w:eastAsia="zh-CN"/>
        </w:rPr>
        <w:t>本体节能率</w:t>
      </w:r>
    </w:p>
    <w:p w14:paraId="503C3571">
      <w:pPr>
        <w:overflowPunct w:val="0"/>
        <w:ind w:firstLine="420" w:firstLineChars="200"/>
        <w:rPr>
          <w:rFonts w:hint="eastAsia" w:ascii="Times New Roman" w:hAnsi="Times New Roman" w:cs="Times New Roman"/>
          <w:szCs w:val="21"/>
        </w:rPr>
      </w:pPr>
      <w:r>
        <w:rPr>
          <w:rFonts w:hint="eastAsia" w:ascii="Times New Roman" w:hAnsi="Times New Roman" w:cs="Times New Roman"/>
          <w:szCs w:val="21"/>
        </w:rPr>
        <w:t>在设定计算条件下，设计建筑不包括可再生能源发电量的建筑能耗综合值与基准建筑的建筑能耗综合值的差值，与基准建筑的建筑能耗综合值的比值。</w:t>
      </w:r>
    </w:p>
    <w:p w14:paraId="51E113F5">
      <w:pPr>
        <w:pStyle w:val="258"/>
        <w:numPr>
          <w:ilvl w:val="0"/>
          <w:numId w:val="32"/>
        </w:numPr>
        <w:ind w:firstLineChars="0"/>
        <w:outlineLvl w:val="2"/>
        <w:rPr>
          <w:rFonts w:ascii="黑体" w:hAnsi="黑体" w:eastAsia="黑体"/>
        </w:rPr>
      </w:pPr>
      <w:r>
        <w:rPr>
          <w:rFonts w:hint="eastAsia" w:ascii="黑体" w:hAnsi="黑体" w:eastAsia="黑体"/>
        </w:rPr>
        <w:t>可再生能源利用率</w:t>
      </w:r>
    </w:p>
    <w:p w14:paraId="6CDE6827">
      <w:pPr>
        <w:overflowPunct w:val="0"/>
        <w:ind w:firstLine="420" w:firstLineChars="200"/>
        <w:rPr>
          <w:rFonts w:ascii="Times New Roman" w:hAnsi="Times New Roman" w:cs="Times New Roman"/>
          <w:szCs w:val="21"/>
        </w:rPr>
      </w:pPr>
      <w:r>
        <w:rPr>
          <w:rFonts w:hint="eastAsia" w:ascii="Times New Roman" w:hAnsi="Times New Roman" w:cs="Times New Roman"/>
          <w:szCs w:val="21"/>
        </w:rPr>
        <w:t>供暖空调、照明、生活热水、电梯系统中可再生能源利用量占其能量需求量的比例。</w:t>
      </w:r>
    </w:p>
    <w:p w14:paraId="363B9DD2">
      <w:pPr>
        <w:pStyle w:val="258"/>
        <w:ind w:left="0" w:leftChars="0" w:firstLine="0" w:firstLineChars="0"/>
        <w:rPr>
          <w:rFonts w:hint="eastAsia" w:hAnsi="Times New Roman" w:cs="Times New Roman"/>
          <w:szCs w:val="22"/>
        </w:rPr>
      </w:pPr>
      <w:r>
        <w:rPr>
          <w:rFonts w:hint="eastAsia" w:ascii="Times New Roman" w:hAnsi="Times New Roman" w:cs="Times New Roman"/>
          <w:color w:val="0000FF"/>
          <w:szCs w:val="21"/>
        </w:rPr>
        <w:t>【条文说明】可再生能源利用率表征建筑用能中可再生能源利用量的比例，是评估超低能耗建筑中可再生能源利用程度的指标。本标准中可再生能源利用率涉及的能源类型范围，包括可再生能源发电、地源热泵、空气源热泵、太阳能热利用和生物质能，相应的计算方法见本标准附录 A 能效指标计算方法。</w:t>
      </w:r>
    </w:p>
    <w:p w14:paraId="565BBC7C">
      <w:pPr>
        <w:pStyle w:val="258"/>
        <w:numPr>
          <w:ilvl w:val="0"/>
          <w:numId w:val="32"/>
        </w:numPr>
        <w:ind w:firstLineChars="0"/>
        <w:outlineLvl w:val="2"/>
        <w:rPr>
          <w:rFonts w:ascii="黑体" w:hAnsi="黑体" w:eastAsia="黑体"/>
        </w:rPr>
      </w:pPr>
      <w:r>
        <w:rPr>
          <w:rFonts w:hint="eastAsia" w:ascii="黑体" w:hAnsi="黑体" w:eastAsia="黑体"/>
        </w:rPr>
        <w:t>建筑气密性</w:t>
      </w:r>
    </w:p>
    <w:p w14:paraId="4AD45133">
      <w:pPr>
        <w:pStyle w:val="258"/>
        <w:ind w:firstLine="420"/>
      </w:pPr>
      <w:r>
        <w:rPr>
          <w:rFonts w:hint="eastAsia"/>
        </w:rPr>
        <w:t>建筑在封闭状态下阻止空气渗透的能力。可表征建筑或房间在正常密闭情况下的无组织空气渗透量。通常采用压差实验检测建筑气密性，以换气次数n</w:t>
      </w:r>
      <w:r>
        <w:rPr>
          <w:rFonts w:hint="eastAsia"/>
          <w:vertAlign w:val="subscript"/>
        </w:rPr>
        <w:t>50</w:t>
      </w:r>
      <w:r>
        <w:rPr>
          <w:rFonts w:hint="eastAsia"/>
        </w:rPr>
        <w:t>，即室内外50pa压差下换气次数来表征建筑气密性。</w:t>
      </w:r>
    </w:p>
    <w:p w14:paraId="5FFC313E">
      <w:pPr>
        <w:pStyle w:val="259"/>
        <w:outlineLvl w:val="0"/>
        <w:rPr>
          <w:szCs w:val="22"/>
        </w:rPr>
      </w:pPr>
      <w:bookmarkStart w:id="18" w:name="_Toc7307"/>
      <w:r>
        <w:rPr>
          <w:szCs w:val="22"/>
        </w:rPr>
        <w:t>基本规定</w:t>
      </w:r>
      <w:bookmarkEnd w:id="18"/>
    </w:p>
    <w:p w14:paraId="50F036AF">
      <w:pPr>
        <w:pStyle w:val="258"/>
        <w:numPr>
          <w:ilvl w:val="0"/>
          <w:numId w:val="33"/>
        </w:numPr>
        <w:spacing w:before="156" w:beforeLines="50" w:after="156" w:afterLines="50"/>
        <w:ind w:firstLineChars="0"/>
        <w:outlineLvl w:val="1"/>
        <w:rPr>
          <w:rFonts w:ascii="黑体" w:hAnsi="黑体" w:eastAsia="黑体"/>
        </w:rPr>
      </w:pPr>
      <w:bookmarkStart w:id="19" w:name="_Toc11094"/>
      <w:r>
        <w:rPr>
          <w:rFonts w:hint="eastAsia" w:ascii="黑体" w:hAnsi="黑体" w:eastAsia="黑体"/>
        </w:rPr>
        <w:t>基本技术要求</w:t>
      </w:r>
      <w:bookmarkEnd w:id="19"/>
    </w:p>
    <w:p w14:paraId="3B274D0D">
      <w:pPr>
        <w:pStyle w:val="258"/>
        <w:numPr>
          <w:ilvl w:val="0"/>
          <w:numId w:val="34"/>
        </w:numPr>
        <w:tabs>
          <w:tab w:val="center" w:pos="4201"/>
          <w:tab w:val="right" w:leader="dot" w:pos="9298"/>
        </w:tabs>
        <w:ind w:firstLineChars="0"/>
        <w:outlineLvl w:val="2"/>
        <w:rPr>
          <w:szCs w:val="22"/>
        </w:rPr>
      </w:pPr>
      <w:r>
        <w:rPr>
          <w:rFonts w:hint="eastAsia"/>
          <w:szCs w:val="22"/>
        </w:rPr>
        <w:t>当建筑年运行能耗1000吨标准煤（或电耗500万千瓦时）及以上，除应符合本标准的各项规定外，还应对其超低能耗设计方案进行技术论证。</w:t>
      </w:r>
    </w:p>
    <w:p w14:paraId="3E17D48A">
      <w:pPr>
        <w:pStyle w:val="258"/>
        <w:widowControl w:val="0"/>
        <w:tabs>
          <w:tab w:val="left" w:pos="765"/>
        </w:tabs>
        <w:overflowPunct w:val="0"/>
        <w:autoSpaceDE/>
        <w:autoSpaceDN/>
        <w:adjustRightInd w:val="0"/>
        <w:snapToGrid w:val="0"/>
        <w:ind w:firstLine="0" w:firstLineChars="0"/>
        <w:rPr>
          <w:szCs w:val="22"/>
        </w:rPr>
      </w:pPr>
      <w:r>
        <w:rPr>
          <w:rFonts w:hint="eastAsia" w:ascii="Times New Roman" w:hAnsi="Times New Roman" w:cs="Times New Roman"/>
          <w:color w:val="0000FF"/>
        </w:rPr>
        <w:t>【条文说明】</w:t>
      </w:r>
      <w:r>
        <w:rPr>
          <w:rFonts w:hint="eastAsia" w:ascii="Times New Roman" w:hAnsi="Times New Roman" w:cs="Times New Roman"/>
          <w:color w:val="0000FF"/>
          <w:spacing w:val="-2"/>
        </w:rPr>
        <w:t>《加快推动建筑领域节能降碳工作方案》（国办函〔2024〕20号）文件要求：应强化年运行能耗1000吨标准煤（或电耗500万千瓦时）及以上建筑项目节能审查，严格执行建筑节能降碳强制性标准。</w:t>
      </w:r>
    </w:p>
    <w:p w14:paraId="73E13B8C">
      <w:pPr>
        <w:pStyle w:val="258"/>
        <w:numPr>
          <w:ilvl w:val="0"/>
          <w:numId w:val="34"/>
        </w:numPr>
        <w:tabs>
          <w:tab w:val="center" w:pos="4201"/>
          <w:tab w:val="right" w:leader="dot" w:pos="9298"/>
        </w:tabs>
        <w:ind w:firstLineChars="0"/>
        <w:outlineLvl w:val="2"/>
        <w:rPr>
          <w:szCs w:val="22"/>
        </w:rPr>
      </w:pPr>
      <w:r>
        <w:rPr>
          <w:rFonts w:hint="eastAsia" w:hAnsi="宋体"/>
        </w:rPr>
        <w:t>超低能耗建筑的设计，应遵循“被动优先，主动优化”的原则，通过被动式设计降低建筑供暖空调、照明等能耗需求，并结合设备能效提升和可再生能源利用，实现建筑超低能耗。</w:t>
      </w:r>
    </w:p>
    <w:p w14:paraId="243712CE">
      <w:pPr>
        <w:pStyle w:val="258"/>
        <w:widowControl w:val="0"/>
        <w:tabs>
          <w:tab w:val="left" w:pos="765"/>
        </w:tabs>
        <w:overflowPunct w:val="0"/>
        <w:autoSpaceDE/>
        <w:autoSpaceDN/>
        <w:adjustRightInd w:val="0"/>
        <w:snapToGrid w:val="0"/>
        <w:ind w:firstLine="0" w:firstLineChars="0"/>
        <w:rPr>
          <w:szCs w:val="22"/>
        </w:rPr>
      </w:pPr>
      <w:r>
        <w:rPr>
          <w:rFonts w:hint="eastAsia" w:ascii="Times New Roman" w:hAnsi="Times New Roman" w:cs="Times New Roman"/>
          <w:color w:val="0000FF"/>
        </w:rPr>
        <w:t>【条文说明】国内外的发展经验表明，在建筑迈向更低能耗的方向上，基本技术路径是一致的，即通过被动式建筑设计、主动式高性能能源系统及可再生能源系统应用，最大幅度减少化石能源消耗。基于本省的气候特征和生活习惯，超低能耗建筑的技术路径，应强调建筑遮阳、自然通风、天然采光、围护结构保温隔热等被动式设计措施，优先使用能效等级更高的系统和设备，同时充分挖掘建筑本体的可再生能源应用潜力，对能耗进行平衡和替代。</w:t>
      </w:r>
    </w:p>
    <w:p w14:paraId="4A090020">
      <w:pPr>
        <w:pStyle w:val="258"/>
        <w:numPr>
          <w:ilvl w:val="0"/>
          <w:numId w:val="34"/>
        </w:numPr>
        <w:tabs>
          <w:tab w:val="center" w:pos="4201"/>
          <w:tab w:val="right" w:leader="dot" w:pos="9298"/>
        </w:tabs>
        <w:ind w:firstLineChars="0"/>
        <w:outlineLvl w:val="2"/>
        <w:rPr>
          <w:szCs w:val="22"/>
        </w:rPr>
      </w:pPr>
      <w:r>
        <w:rPr>
          <w:rFonts w:hint="eastAsia"/>
          <w:szCs w:val="22"/>
          <w:lang w:val="en-US" w:eastAsia="zh-CN"/>
        </w:rPr>
        <w:t>建筑设计应采用性能设计方法，以</w:t>
      </w:r>
      <w:r>
        <w:rPr>
          <w:rFonts w:hint="eastAsia"/>
          <w:szCs w:val="22"/>
        </w:rPr>
        <w:t>室内环境</w:t>
      </w:r>
      <w:r>
        <w:rPr>
          <w:rFonts w:hint="eastAsia"/>
          <w:szCs w:val="22"/>
          <w:lang w:val="en-US" w:eastAsia="zh-CN"/>
        </w:rPr>
        <w:t>指标、</w:t>
      </w:r>
      <w:r>
        <w:rPr>
          <w:rFonts w:hint="eastAsia"/>
          <w:szCs w:val="22"/>
        </w:rPr>
        <w:t>建筑能耗指标、建筑气密性指标为约束</w:t>
      </w:r>
      <w:r>
        <w:rPr>
          <w:rFonts w:hint="eastAsia"/>
          <w:szCs w:val="22"/>
          <w:lang w:val="en-US" w:eastAsia="zh-CN"/>
        </w:rPr>
        <w:t>目标</w:t>
      </w:r>
      <w:r>
        <w:rPr>
          <w:rFonts w:hint="eastAsia"/>
          <w:szCs w:val="22"/>
        </w:rPr>
        <w:t>；</w:t>
      </w:r>
      <w:r>
        <w:rPr>
          <w:rFonts w:hint="eastAsia"/>
          <w:szCs w:val="22"/>
          <w:lang w:val="en-US" w:eastAsia="zh-CN"/>
        </w:rPr>
        <w:t>通过性能化设计合理确定技术策略</w:t>
      </w:r>
      <w:r>
        <w:rPr>
          <w:rFonts w:hint="eastAsia"/>
          <w:szCs w:val="22"/>
        </w:rPr>
        <w:t>。</w:t>
      </w:r>
    </w:p>
    <w:p w14:paraId="331A7488">
      <w:pPr>
        <w:pStyle w:val="258"/>
        <w:widowControl w:val="0"/>
        <w:tabs>
          <w:tab w:val="left" w:pos="765"/>
        </w:tabs>
        <w:overflowPunct w:val="0"/>
        <w:autoSpaceDE/>
        <w:autoSpaceDN/>
        <w:adjustRightInd w:val="0"/>
        <w:snapToGrid w:val="0"/>
        <w:ind w:firstLine="0" w:firstLineChars="0"/>
        <w:rPr>
          <w:szCs w:val="22"/>
        </w:rPr>
      </w:pPr>
      <w:r>
        <w:rPr>
          <w:rFonts w:hint="eastAsia" w:ascii="Times New Roman" w:hAnsi="Times New Roman" w:cs="Times New Roman"/>
          <w:color w:val="0000FF"/>
        </w:rPr>
        <w:t>【条文说明】超低能耗建筑强调建筑能耗目标控制，设计达标判定并不是单纯以具体措施的落实为依据，而是要求能耗结果达标。因此，有别于传统建筑节能设计采用的指令性（规定性）设计方法，超低能耗建筑应采用性能化设计方法，面向建筑性能总体指标要求，综合比选不同的建筑方案和关键部品的性能参数，通过不同组合方案的优化比选，制定适合具体项目的超低能耗技术方案。</w:t>
      </w:r>
    </w:p>
    <w:p w14:paraId="09E2123B">
      <w:pPr>
        <w:pStyle w:val="258"/>
        <w:numPr>
          <w:ilvl w:val="0"/>
          <w:numId w:val="34"/>
        </w:numPr>
        <w:tabs>
          <w:tab w:val="center" w:pos="4201"/>
          <w:tab w:val="right" w:leader="dot" w:pos="9298"/>
        </w:tabs>
        <w:ind w:firstLineChars="0"/>
        <w:outlineLvl w:val="2"/>
        <w:rPr>
          <w:szCs w:val="22"/>
        </w:rPr>
      </w:pPr>
      <w:r>
        <w:rPr>
          <w:rFonts w:hint="eastAsia"/>
          <w:szCs w:val="22"/>
        </w:rPr>
        <w:t>超低能耗建筑应以气候特征为引导进行建筑方案设计，基于武汉地区的气象条件、生活居住习惯，借鉴本地传统建筑被动式措施进行建筑平面总体布局、朝向、采光通风、室内空间布局的适应性设计。</w:t>
      </w:r>
    </w:p>
    <w:p w14:paraId="35ED9E0A">
      <w:pPr>
        <w:pStyle w:val="258"/>
        <w:widowControl w:val="0"/>
        <w:tabs>
          <w:tab w:val="left" w:pos="765"/>
        </w:tabs>
        <w:overflowPunct w:val="0"/>
        <w:autoSpaceDE/>
        <w:autoSpaceDN/>
        <w:adjustRightInd w:val="0"/>
        <w:snapToGrid w:val="0"/>
        <w:ind w:firstLine="0" w:firstLineChars="0"/>
        <w:rPr>
          <w:szCs w:val="22"/>
        </w:rPr>
      </w:pPr>
      <w:r>
        <w:rPr>
          <w:rFonts w:hint="eastAsia" w:ascii="Times New Roman" w:hAnsi="Times New Roman" w:cs="Times New Roman"/>
          <w:color w:val="0000FF"/>
        </w:rPr>
        <w:t>【条文说明】</w:t>
      </w:r>
      <w:r>
        <w:rPr>
          <w:rFonts w:hint="eastAsia" w:ascii="Times New Roman" w:hAnsi="Times New Roman" w:cs="Times New Roman"/>
          <w:color w:val="0000FF"/>
          <w:lang w:val="en-US" w:eastAsia="zh-CN"/>
        </w:rPr>
        <w:t>武汉市</w:t>
      </w:r>
      <w:r>
        <w:rPr>
          <w:rFonts w:hint="eastAsia" w:ascii="Times New Roman" w:hAnsi="Times New Roman" w:cs="Times New Roman"/>
          <w:color w:val="0000FF"/>
        </w:rPr>
        <w:t>属于夏热冬冷地区，建筑设计需要兼顾夏季隔热与冬季保温并为过渡季通风营造条件。被动式建筑设计是值得大力推广的设计理念，可以在建筑设计的源头降低建筑用能需求，为建筑节能目标的实现提供良好的建筑本体条件。</w:t>
      </w:r>
    </w:p>
    <w:p w14:paraId="7A5B2D09">
      <w:pPr>
        <w:pStyle w:val="258"/>
        <w:numPr>
          <w:ilvl w:val="0"/>
          <w:numId w:val="34"/>
        </w:numPr>
        <w:tabs>
          <w:tab w:val="center" w:pos="4201"/>
          <w:tab w:val="right" w:leader="dot" w:pos="9298"/>
        </w:tabs>
        <w:ind w:firstLineChars="0"/>
        <w:outlineLvl w:val="2"/>
        <w:rPr>
          <w:szCs w:val="22"/>
        </w:rPr>
      </w:pPr>
      <w:r>
        <w:rPr>
          <w:rFonts w:hint="eastAsia"/>
          <w:szCs w:val="22"/>
        </w:rPr>
        <w:t>超低能耗建筑应按照精细化施工的理念，采用更加严格的施工质量标准，进行全过程质量控制。</w:t>
      </w:r>
    </w:p>
    <w:p w14:paraId="2EECC674">
      <w:pPr>
        <w:pStyle w:val="258"/>
        <w:numPr>
          <w:ilvl w:val="0"/>
          <w:numId w:val="34"/>
        </w:numPr>
        <w:tabs>
          <w:tab w:val="center" w:pos="4201"/>
          <w:tab w:val="right" w:leader="dot" w:pos="9298"/>
        </w:tabs>
        <w:ind w:firstLineChars="0"/>
        <w:outlineLvl w:val="2"/>
        <w:rPr>
          <w:szCs w:val="22"/>
        </w:rPr>
      </w:pPr>
      <w:r>
        <w:rPr>
          <w:rFonts w:hint="eastAsia"/>
          <w:szCs w:val="22"/>
        </w:rPr>
        <w:t>超低能耗建筑应进行全装修。</w:t>
      </w:r>
    </w:p>
    <w:p w14:paraId="00710FD5">
      <w:pPr>
        <w:pStyle w:val="258"/>
        <w:tabs>
          <w:tab w:val="center" w:pos="4201"/>
          <w:tab w:val="right" w:leader="dot" w:pos="9298"/>
        </w:tabs>
        <w:ind w:left="0" w:leftChars="0" w:firstLine="0" w:firstLineChars="0"/>
        <w:rPr>
          <w:rFonts w:hint="eastAsia" w:ascii="Times New Roman" w:hAnsi="Times New Roman" w:cs="Times New Roman"/>
          <w:color w:val="0000FF"/>
        </w:rPr>
      </w:pPr>
      <w:r>
        <w:rPr>
          <w:rFonts w:hint="eastAsia" w:ascii="Times New Roman" w:hAnsi="Times New Roman" w:cs="Times New Roman"/>
          <w:color w:val="0000FF"/>
        </w:rPr>
        <w:t>【条文说明】全装修指建筑功能空间的固定面装修和设备设施安装全部完成，达到建筑使用功能和性能的基本要求。由于超低能耗建筑的围护结构构造复杂，如在室内装修过程中对其进行破坏，将导致气密性损坏，进而影响室内环境并导致建筑能效下降，因此本标准提出超低能耗建筑应进行全装修。</w:t>
      </w:r>
    </w:p>
    <w:p w14:paraId="15484373">
      <w:pPr>
        <w:pStyle w:val="258"/>
        <w:numPr>
          <w:ilvl w:val="0"/>
          <w:numId w:val="34"/>
        </w:numPr>
        <w:tabs>
          <w:tab w:val="center" w:pos="4201"/>
          <w:tab w:val="right" w:leader="dot" w:pos="9298"/>
        </w:tabs>
        <w:ind w:firstLineChars="0"/>
        <w:outlineLvl w:val="2"/>
        <w:rPr>
          <w:rFonts w:hint="eastAsia" w:hAnsi="Times New Roman" w:cs="Times New Roman"/>
          <w:szCs w:val="22"/>
        </w:rPr>
      </w:pPr>
      <w:r>
        <w:rPr>
          <w:rFonts w:hint="eastAsia" w:hAnsi="Times New Roman" w:cs="Times New Roman"/>
          <w:szCs w:val="22"/>
        </w:rPr>
        <w:t>设置在居住建筑首层或二层，且每个分割单元建筑面积不大于300m</w:t>
      </w:r>
      <w:r>
        <w:rPr>
          <w:rFonts w:hint="eastAsia" w:hAnsi="Times New Roman" w:cs="Times New Roman"/>
          <w:szCs w:val="22"/>
          <w:vertAlign w:val="superscript"/>
        </w:rPr>
        <w:t>2</w:t>
      </w:r>
      <w:r>
        <w:rPr>
          <w:rFonts w:hint="eastAsia" w:hAnsi="Times New Roman" w:cs="Times New Roman"/>
          <w:szCs w:val="22"/>
        </w:rPr>
        <w:t>的小型商铺或配套公建，超低能耗建筑设计可按</w:t>
      </w:r>
      <w:r>
        <w:rPr>
          <w:rFonts w:hint="eastAsia" w:hAnsi="Times New Roman" w:cs="Times New Roman"/>
          <w:szCs w:val="22"/>
          <w:lang w:val="en-US" w:eastAsia="zh-CN"/>
        </w:rPr>
        <w:t>居住建筑</w:t>
      </w:r>
      <w:r>
        <w:rPr>
          <w:rFonts w:hint="eastAsia" w:hAnsi="Times New Roman" w:cs="Times New Roman"/>
          <w:szCs w:val="22"/>
        </w:rPr>
        <w:t>执行</w:t>
      </w:r>
      <w:r>
        <w:rPr>
          <w:rFonts w:hint="eastAsia" w:hAnsi="Times New Roman" w:cs="Times New Roman"/>
          <w:szCs w:val="22"/>
          <w:lang w:eastAsia="zh-CN"/>
        </w:rPr>
        <w:t>。</w:t>
      </w:r>
    </w:p>
    <w:p w14:paraId="0BEAEE18">
      <w:pPr>
        <w:pStyle w:val="258"/>
        <w:tabs>
          <w:tab w:val="center" w:pos="4201"/>
          <w:tab w:val="right" w:leader="dot" w:pos="9298"/>
        </w:tabs>
        <w:ind w:left="0" w:leftChars="0" w:firstLine="0" w:firstLineChars="0"/>
        <w:rPr>
          <w:rFonts w:hint="eastAsia" w:ascii="Times New Roman" w:hAnsi="Times New Roman" w:cs="Times New Roman"/>
          <w:color w:val="0000FF"/>
          <w:szCs w:val="22"/>
        </w:rPr>
      </w:pPr>
      <w:r>
        <w:rPr>
          <w:rFonts w:hint="eastAsia" w:ascii="Times New Roman" w:hAnsi="Times New Roman" w:cs="Times New Roman"/>
          <w:color w:val="0000FF"/>
          <w:szCs w:val="22"/>
        </w:rPr>
        <w:t>【条文说明】设置在居住建筑首层或二层的商铺或配套公建，虽然属于公共建筑功能，但建筑体量相对较小，本标准允许该类功能区域按照居住建筑进行超低能耗建筑设计，其围护结构热工性能、空调设备性能满足</w:t>
      </w:r>
      <w:r>
        <w:rPr>
          <w:rFonts w:hint="eastAsia" w:ascii="Times New Roman" w:hAnsi="Times New Roman" w:cs="Times New Roman"/>
          <w:color w:val="0000FF"/>
          <w:szCs w:val="22"/>
          <w:lang w:val="en-US" w:eastAsia="zh-CN"/>
        </w:rPr>
        <w:t>居住建筑</w:t>
      </w:r>
      <w:r>
        <w:rPr>
          <w:rFonts w:hint="eastAsia" w:ascii="Times New Roman" w:hAnsi="Times New Roman" w:cs="Times New Roman"/>
          <w:color w:val="0000FF"/>
          <w:szCs w:val="22"/>
        </w:rPr>
        <w:t>要求即视为达标，可不纳入建筑能耗计算范围，以简化该类建筑的超低能耗设计流程。</w:t>
      </w:r>
    </w:p>
    <w:p w14:paraId="7665ED55">
      <w:pPr>
        <w:pStyle w:val="258"/>
        <w:numPr>
          <w:ilvl w:val="0"/>
          <w:numId w:val="33"/>
        </w:numPr>
        <w:spacing w:before="156" w:beforeLines="50" w:after="156" w:afterLines="50"/>
        <w:ind w:firstLineChars="0"/>
        <w:outlineLvl w:val="1"/>
        <w:rPr>
          <w:rFonts w:ascii="黑体" w:hAnsi="黑体" w:eastAsia="黑体"/>
        </w:rPr>
      </w:pPr>
      <w:bookmarkStart w:id="20" w:name="_Toc32508"/>
      <w:bookmarkStart w:id="21" w:name="_Toc2950915"/>
      <w:r>
        <w:rPr>
          <w:rFonts w:ascii="黑体" w:hAnsi="黑体" w:eastAsia="黑体"/>
        </w:rPr>
        <w:t>室内环境指标</w:t>
      </w:r>
      <w:bookmarkEnd w:id="20"/>
      <w:bookmarkEnd w:id="21"/>
    </w:p>
    <w:p w14:paraId="4479619B">
      <w:pPr>
        <w:pStyle w:val="258"/>
        <w:numPr>
          <w:ilvl w:val="0"/>
          <w:numId w:val="35"/>
        </w:numPr>
        <w:tabs>
          <w:tab w:val="center" w:pos="4201"/>
          <w:tab w:val="right" w:leader="dot" w:pos="9298"/>
        </w:tabs>
        <w:ind w:firstLineChars="0"/>
        <w:outlineLvl w:val="2"/>
        <w:rPr>
          <w:szCs w:val="22"/>
        </w:rPr>
      </w:pPr>
      <w:r>
        <w:rPr>
          <w:rFonts w:hint="eastAsia"/>
          <w:szCs w:val="22"/>
        </w:rPr>
        <w:t>超低能耗建筑主要房间</w:t>
      </w:r>
      <w:r>
        <w:rPr>
          <w:szCs w:val="22"/>
        </w:rPr>
        <w:t>室内热湿环境设计参数应符合下列规定：</w:t>
      </w:r>
    </w:p>
    <w:p w14:paraId="61BCB670">
      <w:pPr>
        <w:pStyle w:val="258"/>
        <w:widowControl w:val="0"/>
        <w:overflowPunct w:val="0"/>
        <w:autoSpaceDE w:val="0"/>
        <w:autoSpaceDN w:val="0"/>
        <w:spacing w:before="156" w:beforeLines="50" w:after="156" w:afterLines="50"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 xml:space="preserve">表 </w:t>
      </w:r>
      <w:r>
        <w:rPr>
          <w:rFonts w:hint="eastAsia" w:ascii="黑体" w:hAnsi="黑体" w:eastAsia="黑体" w:cs="黑体"/>
          <w:color w:val="000000"/>
          <w:szCs w:val="21"/>
          <w:lang w:val="en-US" w:eastAsia="zh-CN"/>
        </w:rPr>
        <w:t>4.2.</w:t>
      </w:r>
      <w:r>
        <w:rPr>
          <w:rFonts w:ascii="黑体" w:hAnsi="黑体" w:eastAsia="黑体" w:cs="黑体"/>
          <w:color w:val="000000"/>
          <w:szCs w:val="21"/>
        </w:rPr>
        <w:fldChar w:fldCharType="begin"/>
      </w:r>
      <w:r>
        <w:rPr>
          <w:rFonts w:ascii="黑体" w:hAnsi="黑体" w:eastAsia="黑体" w:cs="黑体"/>
          <w:color w:val="000000"/>
          <w:szCs w:val="21"/>
        </w:rPr>
        <w:instrText xml:space="preserve"> </w:instrText>
      </w:r>
      <w:r>
        <w:rPr>
          <w:rFonts w:hint="eastAsia" w:ascii="黑体" w:hAnsi="黑体" w:eastAsia="黑体" w:cs="黑体"/>
          <w:color w:val="000000"/>
          <w:szCs w:val="21"/>
        </w:rPr>
        <w:instrText xml:space="preserve">SEQ 表 \* ARABIC</w:instrText>
      </w:r>
      <w:r>
        <w:rPr>
          <w:rFonts w:ascii="黑体" w:hAnsi="黑体" w:eastAsia="黑体" w:cs="黑体"/>
          <w:color w:val="000000"/>
          <w:szCs w:val="21"/>
        </w:rPr>
        <w:instrText xml:space="preserve"> </w:instrText>
      </w:r>
      <w:r>
        <w:rPr>
          <w:rFonts w:ascii="黑体" w:hAnsi="黑体" w:eastAsia="黑体" w:cs="黑体"/>
          <w:color w:val="000000"/>
          <w:szCs w:val="21"/>
        </w:rPr>
        <w:fldChar w:fldCharType="separate"/>
      </w:r>
      <w:r>
        <w:rPr>
          <w:rFonts w:ascii="黑体" w:hAnsi="黑体" w:eastAsia="黑体" w:cs="黑体"/>
          <w:color w:val="000000"/>
          <w:szCs w:val="21"/>
        </w:rPr>
        <w:t>1</w:t>
      </w:r>
      <w:r>
        <w:rPr>
          <w:rFonts w:ascii="黑体" w:hAnsi="黑体" w:eastAsia="黑体" w:cs="黑体"/>
          <w:color w:val="000000"/>
          <w:szCs w:val="21"/>
        </w:rPr>
        <w:fldChar w:fldCharType="end"/>
      </w:r>
      <w:r>
        <w:rPr>
          <w:rFonts w:ascii="黑体" w:hAnsi="黑体" w:eastAsia="黑体" w:cs="黑体"/>
          <w:color w:val="000000"/>
          <w:szCs w:val="21"/>
        </w:rPr>
        <w:t xml:space="preserve">  室内热湿环境设计参数</w:t>
      </w:r>
    </w:p>
    <w:tbl>
      <w:tblPr>
        <w:tblStyle w:val="88"/>
        <w:tblW w:w="9336"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3110"/>
        <w:gridCol w:w="3112"/>
        <w:gridCol w:w="3114"/>
      </w:tblGrid>
      <w:tr w14:paraId="756D993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29" w:hRule="atLeast"/>
          <w:jc w:val="center"/>
        </w:trPr>
        <w:tc>
          <w:tcPr>
            <w:tcW w:w="3110" w:type="dxa"/>
            <w:tcBorders>
              <w:top w:val="single" w:color="auto" w:sz="8" w:space="0"/>
              <w:bottom w:val="single" w:color="auto" w:sz="8" w:space="0"/>
            </w:tcBorders>
            <w:vAlign w:val="center"/>
          </w:tcPr>
          <w:p w14:paraId="1F8FF883">
            <w:pPr>
              <w:spacing w:line="360" w:lineRule="auto"/>
              <w:jc w:val="center"/>
              <w:rPr>
                <w:sz w:val="18"/>
                <w:szCs w:val="18"/>
              </w:rPr>
            </w:pPr>
            <w:r>
              <w:rPr>
                <w:sz w:val="18"/>
                <w:szCs w:val="18"/>
              </w:rPr>
              <w:t>室内热湿环境参数</w:t>
            </w:r>
          </w:p>
        </w:tc>
        <w:tc>
          <w:tcPr>
            <w:tcW w:w="3112" w:type="dxa"/>
            <w:tcBorders>
              <w:top w:val="single" w:color="auto" w:sz="8" w:space="0"/>
              <w:bottom w:val="single" w:color="auto" w:sz="8" w:space="0"/>
            </w:tcBorders>
            <w:vAlign w:val="center"/>
          </w:tcPr>
          <w:p w14:paraId="121BCCC9">
            <w:pPr>
              <w:spacing w:line="360" w:lineRule="auto"/>
              <w:jc w:val="center"/>
              <w:rPr>
                <w:sz w:val="18"/>
                <w:szCs w:val="18"/>
              </w:rPr>
            </w:pPr>
            <w:r>
              <w:rPr>
                <w:sz w:val="18"/>
                <w:szCs w:val="18"/>
              </w:rPr>
              <w:t>制冷</w:t>
            </w:r>
          </w:p>
        </w:tc>
        <w:tc>
          <w:tcPr>
            <w:tcW w:w="3114" w:type="dxa"/>
            <w:tcBorders>
              <w:top w:val="single" w:color="auto" w:sz="8" w:space="0"/>
              <w:bottom w:val="single" w:color="auto" w:sz="8" w:space="0"/>
            </w:tcBorders>
            <w:vAlign w:val="center"/>
          </w:tcPr>
          <w:p w14:paraId="565EE59F">
            <w:pPr>
              <w:spacing w:line="360" w:lineRule="auto"/>
              <w:jc w:val="center"/>
              <w:rPr>
                <w:sz w:val="18"/>
                <w:szCs w:val="18"/>
              </w:rPr>
            </w:pPr>
            <w:r>
              <w:rPr>
                <w:sz w:val="18"/>
                <w:szCs w:val="18"/>
              </w:rPr>
              <w:t>供热</w:t>
            </w:r>
          </w:p>
        </w:tc>
      </w:tr>
      <w:tr w14:paraId="632C807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3110" w:type="dxa"/>
            <w:tcBorders>
              <w:top w:val="single" w:color="auto" w:sz="8" w:space="0"/>
              <w:bottom w:val="single" w:color="auto" w:sz="4" w:space="0"/>
              <w:right w:val="single" w:color="auto" w:sz="4" w:space="0"/>
            </w:tcBorders>
            <w:vAlign w:val="center"/>
          </w:tcPr>
          <w:p w14:paraId="1E0B4F97">
            <w:pPr>
              <w:spacing w:line="360" w:lineRule="auto"/>
              <w:jc w:val="center"/>
              <w:rPr>
                <w:sz w:val="18"/>
                <w:szCs w:val="18"/>
              </w:rPr>
            </w:pPr>
            <w:r>
              <w:rPr>
                <w:sz w:val="18"/>
                <w:szCs w:val="18"/>
              </w:rPr>
              <w:t>温度（</w:t>
            </w:r>
            <w:r>
              <w:rPr>
                <w:rFonts w:hint="eastAsia" w:ascii="宋体" w:hAnsi="宋体" w:cs="宋体"/>
                <w:sz w:val="18"/>
                <w:szCs w:val="18"/>
              </w:rPr>
              <w:t>℃</w:t>
            </w:r>
            <w:r>
              <w:rPr>
                <w:sz w:val="18"/>
                <w:szCs w:val="18"/>
              </w:rPr>
              <w:t>）</w:t>
            </w:r>
          </w:p>
        </w:tc>
        <w:tc>
          <w:tcPr>
            <w:tcW w:w="3112" w:type="dxa"/>
            <w:tcBorders>
              <w:top w:val="single" w:color="auto" w:sz="8" w:space="0"/>
              <w:left w:val="single" w:color="auto" w:sz="4" w:space="0"/>
              <w:bottom w:val="single" w:color="auto" w:sz="4" w:space="0"/>
              <w:right w:val="single" w:color="auto" w:sz="4" w:space="0"/>
            </w:tcBorders>
            <w:vAlign w:val="center"/>
          </w:tcPr>
          <w:p w14:paraId="5E02155C">
            <w:pPr>
              <w:spacing w:line="360" w:lineRule="auto"/>
              <w:jc w:val="center"/>
              <w:rPr>
                <w:sz w:val="18"/>
                <w:szCs w:val="18"/>
              </w:rPr>
            </w:pPr>
            <w:r>
              <w:rPr>
                <w:sz w:val="18"/>
                <w:szCs w:val="18"/>
              </w:rPr>
              <w:t>≤26</w:t>
            </w:r>
          </w:p>
        </w:tc>
        <w:tc>
          <w:tcPr>
            <w:tcW w:w="3114" w:type="dxa"/>
            <w:tcBorders>
              <w:top w:val="single" w:color="auto" w:sz="8" w:space="0"/>
              <w:left w:val="single" w:color="auto" w:sz="4" w:space="0"/>
              <w:bottom w:val="single" w:color="auto" w:sz="4" w:space="0"/>
            </w:tcBorders>
            <w:vAlign w:val="center"/>
          </w:tcPr>
          <w:p w14:paraId="2650BCE2">
            <w:pPr>
              <w:spacing w:line="360" w:lineRule="auto"/>
              <w:jc w:val="center"/>
              <w:rPr>
                <w:rFonts w:hint="default" w:eastAsia="宋体"/>
                <w:sz w:val="18"/>
                <w:szCs w:val="18"/>
                <w:lang w:val="en-US" w:eastAsia="zh-CN"/>
              </w:rPr>
            </w:pPr>
            <w:r>
              <w:rPr>
                <w:sz w:val="18"/>
                <w:szCs w:val="18"/>
              </w:rPr>
              <w:t>≥</w:t>
            </w:r>
            <w:r>
              <w:rPr>
                <w:rFonts w:hint="eastAsia"/>
                <w:sz w:val="18"/>
                <w:szCs w:val="18"/>
                <w:lang w:val="en-US" w:eastAsia="zh-CN"/>
              </w:rPr>
              <w:t>18</w:t>
            </w:r>
          </w:p>
        </w:tc>
      </w:tr>
      <w:tr w14:paraId="42C4322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3110" w:type="dxa"/>
            <w:tcBorders>
              <w:top w:val="single" w:color="auto" w:sz="4" w:space="0"/>
              <w:bottom w:val="single" w:color="auto" w:sz="8" w:space="0"/>
              <w:right w:val="single" w:color="auto" w:sz="4" w:space="0"/>
            </w:tcBorders>
            <w:vAlign w:val="center"/>
          </w:tcPr>
          <w:p w14:paraId="2F8D9D45">
            <w:pPr>
              <w:spacing w:line="360" w:lineRule="auto"/>
              <w:jc w:val="center"/>
              <w:rPr>
                <w:sz w:val="18"/>
                <w:szCs w:val="18"/>
              </w:rPr>
            </w:pPr>
            <w:r>
              <w:rPr>
                <w:sz w:val="18"/>
                <w:szCs w:val="18"/>
              </w:rPr>
              <w:t>相对湿度（%）</w:t>
            </w:r>
          </w:p>
        </w:tc>
        <w:tc>
          <w:tcPr>
            <w:tcW w:w="3112" w:type="dxa"/>
            <w:tcBorders>
              <w:top w:val="single" w:color="auto" w:sz="4" w:space="0"/>
              <w:left w:val="single" w:color="auto" w:sz="4" w:space="0"/>
              <w:bottom w:val="single" w:color="auto" w:sz="8" w:space="0"/>
              <w:right w:val="single" w:color="auto" w:sz="4" w:space="0"/>
            </w:tcBorders>
            <w:vAlign w:val="center"/>
          </w:tcPr>
          <w:p w14:paraId="13EEC170">
            <w:pPr>
              <w:spacing w:line="360" w:lineRule="auto"/>
              <w:jc w:val="center"/>
              <w:rPr>
                <w:sz w:val="18"/>
                <w:szCs w:val="18"/>
              </w:rPr>
            </w:pPr>
            <w:r>
              <w:rPr>
                <w:sz w:val="18"/>
                <w:szCs w:val="18"/>
              </w:rPr>
              <w:t>≤60</w:t>
            </w:r>
          </w:p>
        </w:tc>
        <w:tc>
          <w:tcPr>
            <w:tcW w:w="3114" w:type="dxa"/>
            <w:tcBorders>
              <w:top w:val="single" w:color="auto" w:sz="4" w:space="0"/>
              <w:left w:val="single" w:color="auto" w:sz="4" w:space="0"/>
              <w:bottom w:val="single" w:color="auto" w:sz="8" w:space="0"/>
            </w:tcBorders>
            <w:vAlign w:val="center"/>
          </w:tcPr>
          <w:p w14:paraId="1B86A402">
            <w:pPr>
              <w:spacing w:line="360" w:lineRule="auto"/>
              <w:jc w:val="center"/>
              <w:rPr>
                <w:sz w:val="18"/>
                <w:szCs w:val="18"/>
              </w:rPr>
            </w:pPr>
            <w:r>
              <w:rPr>
                <w:sz w:val="18"/>
                <w:szCs w:val="18"/>
              </w:rPr>
              <w:t>≥30</w:t>
            </w:r>
          </w:p>
        </w:tc>
      </w:tr>
      <w:tr w14:paraId="76BA6B5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981" w:hRule="atLeast"/>
          <w:jc w:val="center"/>
        </w:trPr>
        <w:tc>
          <w:tcPr>
            <w:tcW w:w="9336" w:type="dxa"/>
            <w:gridSpan w:val="3"/>
            <w:tcBorders>
              <w:top w:val="single" w:color="auto" w:sz="8" w:space="0"/>
            </w:tcBorders>
            <w:vAlign w:val="center"/>
          </w:tcPr>
          <w:p w14:paraId="4A595EC5">
            <w:pPr>
              <w:spacing w:line="360" w:lineRule="auto"/>
              <w:jc w:val="left"/>
              <w:rPr>
                <w:rFonts w:ascii="宋体" w:hAnsi="宋体" w:cs="宋体"/>
                <w:bCs/>
                <w:color w:val="000000"/>
                <w:sz w:val="18"/>
                <w:szCs w:val="18"/>
              </w:rPr>
            </w:pPr>
            <w:r>
              <w:rPr>
                <w:rFonts w:hint="eastAsia" w:ascii="宋体" w:hAnsi="宋体" w:cs="宋体"/>
                <w:bCs/>
                <w:color w:val="000000"/>
                <w:sz w:val="18"/>
                <w:szCs w:val="18"/>
              </w:rPr>
              <w:t>注1：辐射供暖室内设计温度宜降低2℃；辐射供冷室内设计温度宜提高0.5℃～1.5℃。</w:t>
            </w:r>
          </w:p>
          <w:p w14:paraId="715C6CB3">
            <w:pPr>
              <w:spacing w:line="360" w:lineRule="auto"/>
              <w:jc w:val="left"/>
              <w:rPr>
                <w:rFonts w:ascii="宋体" w:hAnsi="宋体" w:cs="宋体"/>
                <w:bCs/>
                <w:color w:val="000000"/>
                <w:sz w:val="18"/>
                <w:szCs w:val="18"/>
              </w:rPr>
            </w:pPr>
            <w:r>
              <w:rPr>
                <w:rFonts w:hint="eastAsia" w:ascii="宋体" w:hAnsi="宋体" w:cs="宋体"/>
                <w:bCs/>
                <w:color w:val="000000"/>
                <w:sz w:val="18"/>
                <w:szCs w:val="18"/>
              </w:rPr>
              <w:t>注2：新风量指标应满足现行国家标准《民用建筑供暖通风与空气调节设计规范》GB50376的规定。</w:t>
            </w:r>
          </w:p>
          <w:p w14:paraId="15A06198">
            <w:pPr>
              <w:spacing w:line="360" w:lineRule="auto"/>
              <w:jc w:val="left"/>
              <w:rPr>
                <w:sz w:val="18"/>
                <w:szCs w:val="18"/>
              </w:rPr>
            </w:pPr>
            <w:r>
              <w:rPr>
                <w:rFonts w:hint="eastAsia" w:ascii="宋体" w:hAnsi="宋体" w:cs="宋体"/>
                <w:bCs/>
                <w:color w:val="000000"/>
                <w:sz w:val="18"/>
                <w:szCs w:val="18"/>
              </w:rPr>
              <w:t>注3：冬季室内相对湿度不参与设备选型和能效指标的计算。</w:t>
            </w:r>
          </w:p>
        </w:tc>
      </w:tr>
    </w:tbl>
    <w:p w14:paraId="3514A298">
      <w:pPr>
        <w:pStyle w:val="258"/>
        <w:widowControl w:val="0"/>
        <w:tabs>
          <w:tab w:val="left" w:pos="765"/>
        </w:tabs>
        <w:overflowPunct w:val="0"/>
        <w:autoSpaceDE/>
        <w:autoSpaceDN/>
        <w:ind w:firstLine="0" w:firstLineChars="0"/>
        <w:rPr>
          <w:rFonts w:ascii="Times New Roman" w:hAnsi="Times New Roman" w:cs="Times New Roman"/>
          <w:color w:val="0000FF"/>
        </w:rPr>
      </w:pPr>
      <w:r>
        <w:rPr>
          <w:rFonts w:hint="eastAsia" w:ascii="Times New Roman" w:hAnsi="Times New Roman" w:cs="Times New Roman"/>
          <w:color w:val="0000FF"/>
        </w:rPr>
        <w:t>【条文说明】健康舒适的室内环境是超低能耗建筑的基本前提，超低能耗建筑室内环境参数应满足较高的热舒适水平。本条提出的温度和相对湿度参数主要用于供暖空调工况设计计算和设备选型，并不代表室内全年均需满足该指标，从节能角度不宜盲目追求过高的舒适度和温湿度保证率。本条中的“主要功能房间”是指对应功能建筑中人员长期停留的房间，如</w:t>
      </w:r>
      <w:r>
        <w:rPr>
          <w:rFonts w:hint="eastAsia" w:ascii="Times New Roman" w:hAnsi="Times New Roman" w:cs="Times New Roman"/>
          <w:color w:val="0000FF"/>
          <w:lang w:val="en-US" w:eastAsia="zh-CN"/>
        </w:rPr>
        <w:t>住宅建筑的卧室、起居室、书房，</w:t>
      </w:r>
      <w:r>
        <w:rPr>
          <w:rFonts w:hint="eastAsia" w:ascii="Times New Roman" w:hAnsi="Times New Roman" w:cs="Times New Roman"/>
          <w:color w:val="0000FF"/>
        </w:rPr>
        <w:t>办公建筑的办公室、会议室，商业建筑的商铺，酒店建筑的客房等。有特殊环境控制要求的其他区域，如泳池、数据机房等区域的热湿环境设计参数按实际需要设定。</w:t>
      </w:r>
    </w:p>
    <w:p w14:paraId="1A58B1AC">
      <w:pPr>
        <w:pStyle w:val="258"/>
        <w:widowControl w:val="0"/>
        <w:tabs>
          <w:tab w:val="left" w:pos="765"/>
        </w:tabs>
        <w:overflowPunct w:val="0"/>
        <w:autoSpaceDE/>
        <w:autoSpaceDN/>
        <w:ind w:firstLine="420"/>
      </w:pPr>
      <w:r>
        <w:rPr>
          <w:rFonts w:hint="eastAsia" w:ascii="Times New Roman" w:hAnsi="Times New Roman" w:cs="Times New Roman"/>
          <w:color w:val="0000FF"/>
        </w:rPr>
        <w:t>《民用建筑供暖通风与空气调节设计规范》GB 50736-2012规定，夏热冬冷地区主要房间供暖室内设计温度宜采用16℃</w:t>
      </w:r>
      <w:r>
        <w:rPr>
          <w:rFonts w:ascii="Times New Roman" w:hAnsi="Times New Roman" w:cs="Times New Roman"/>
          <w:color w:val="0000FF"/>
        </w:rPr>
        <w:t>⁓</w:t>
      </w:r>
      <w:r>
        <w:rPr>
          <w:rFonts w:hint="eastAsia" w:ascii="Times New Roman" w:hAnsi="Times New Roman" w:cs="Times New Roman"/>
          <w:color w:val="0000FF"/>
        </w:rPr>
        <w:t>22℃；同时《城镇供热服务》GB/T 33833-2017规定，在正常天气条件下且供热系统正常运行时，主要房间的供暖温度不应低于18℃。综合考虑，将供热温度定为18℃是较为合适的，既不会太冷导致不适，也不会过热造成能源浪费。</w:t>
      </w:r>
    </w:p>
    <w:p w14:paraId="396185FE">
      <w:pPr>
        <w:pStyle w:val="258"/>
        <w:numPr>
          <w:ilvl w:val="0"/>
          <w:numId w:val="35"/>
        </w:numPr>
        <w:tabs>
          <w:tab w:val="center" w:pos="4201"/>
          <w:tab w:val="right" w:leader="dot" w:pos="9298"/>
        </w:tabs>
        <w:ind w:firstLineChars="0"/>
        <w:outlineLvl w:val="2"/>
        <w:rPr>
          <w:szCs w:val="22"/>
        </w:rPr>
      </w:pPr>
      <w:r>
        <w:rPr>
          <w:rFonts w:hint="eastAsia"/>
          <w:szCs w:val="22"/>
        </w:rPr>
        <w:t>超低能耗建筑室内</w:t>
      </w:r>
      <w:r>
        <w:rPr>
          <w:szCs w:val="22"/>
        </w:rPr>
        <w:t>新风量</w:t>
      </w:r>
      <w:r>
        <w:rPr>
          <w:rFonts w:hint="eastAsia"/>
          <w:szCs w:val="22"/>
        </w:rPr>
        <w:t>指标应满足如下要求：</w:t>
      </w:r>
    </w:p>
    <w:p w14:paraId="18EEB139">
      <w:pPr>
        <w:pStyle w:val="258"/>
        <w:keepNext w:val="0"/>
        <w:keepLines w:val="0"/>
        <w:pageBreakBefore w:val="0"/>
        <w:widowControl/>
        <w:numPr>
          <w:ilvl w:val="0"/>
          <w:numId w:val="0"/>
        </w:numPr>
        <w:tabs>
          <w:tab w:val="center" w:pos="4201"/>
          <w:tab w:val="right" w:leader="dot" w:pos="9298"/>
        </w:tabs>
        <w:kinsoku/>
        <w:wordWrap/>
        <w:overflowPunct/>
        <w:topLinePunct w:val="0"/>
        <w:autoSpaceDE/>
        <w:autoSpaceDN/>
        <w:bidi w:val="0"/>
        <w:adjustRightInd/>
        <w:snapToGrid/>
        <w:ind w:firstLine="420" w:firstLineChars="200"/>
        <w:textAlignment w:val="auto"/>
        <w:rPr>
          <w:rFonts w:hint="default" w:ascii="Times New Roman" w:hAnsi="Times New Roman" w:cs="Times New Roman"/>
          <w:szCs w:val="22"/>
        </w:rPr>
      </w:pPr>
      <w:r>
        <w:rPr>
          <w:rFonts w:hint="eastAsia" w:ascii="Times New Roman" w:hAnsi="Times New Roman" w:cs="Times New Roman"/>
          <w:szCs w:val="22"/>
          <w:lang w:val="en-US" w:eastAsia="zh-CN"/>
        </w:rPr>
        <w:t>1.</w:t>
      </w:r>
      <w:r>
        <w:rPr>
          <w:rFonts w:hint="default" w:ascii="Times New Roman" w:hAnsi="Times New Roman" w:cs="Times New Roman"/>
          <w:szCs w:val="22"/>
        </w:rPr>
        <w:t>住宅建筑的卧室、起居室、餐厅、书房等主要房间室内新风量不应小于30m</w:t>
      </w:r>
      <w:r>
        <w:rPr>
          <w:rFonts w:hint="default" w:ascii="Times New Roman" w:hAnsi="Times New Roman" w:cs="Times New Roman"/>
          <w:szCs w:val="22"/>
          <w:vertAlign w:val="superscript"/>
        </w:rPr>
        <w:t>3</w:t>
      </w:r>
      <w:r>
        <w:rPr>
          <w:rFonts w:hint="default" w:ascii="Times New Roman" w:hAnsi="Times New Roman" w:cs="Times New Roman"/>
          <w:szCs w:val="22"/>
        </w:rPr>
        <w:t>/(h</w:t>
      </w:r>
      <w:r>
        <w:rPr>
          <w:rFonts w:hint="default" w:ascii="Times New Roman" w:hAnsi="Times New Roman" w:cs="Times New Roman"/>
          <w:szCs w:val="22"/>
        </w:rPr>
        <w:sym w:font="Wingdings" w:char="F09E"/>
      </w:r>
      <w:r>
        <w:rPr>
          <w:rFonts w:hint="default" w:ascii="Times New Roman" w:hAnsi="Times New Roman" w:cs="Times New Roman"/>
          <w:szCs w:val="22"/>
        </w:rPr>
        <w:t>人)；</w:t>
      </w:r>
    </w:p>
    <w:p w14:paraId="01E091CE">
      <w:pPr>
        <w:pStyle w:val="258"/>
        <w:keepNext w:val="0"/>
        <w:keepLines w:val="0"/>
        <w:pageBreakBefore w:val="0"/>
        <w:widowControl/>
        <w:numPr>
          <w:ilvl w:val="0"/>
          <w:numId w:val="0"/>
        </w:numPr>
        <w:tabs>
          <w:tab w:val="center" w:pos="4201"/>
          <w:tab w:val="right" w:leader="dot" w:pos="9298"/>
        </w:tabs>
        <w:kinsoku/>
        <w:wordWrap/>
        <w:overflowPunct/>
        <w:topLinePunct w:val="0"/>
        <w:autoSpaceDE/>
        <w:autoSpaceDN/>
        <w:bidi w:val="0"/>
        <w:adjustRightInd/>
        <w:snapToGrid/>
        <w:ind w:firstLine="420" w:firstLineChars="200"/>
        <w:textAlignment w:val="auto"/>
        <w:rPr>
          <w:rFonts w:hint="default" w:ascii="Times New Roman" w:hAnsi="Times New Roman" w:cs="Times New Roman"/>
          <w:szCs w:val="22"/>
        </w:rPr>
      </w:pPr>
      <w:r>
        <w:rPr>
          <w:rFonts w:hint="eastAsia" w:ascii="Times New Roman" w:hAnsi="Times New Roman" w:cs="Times New Roman"/>
          <w:szCs w:val="22"/>
          <w:lang w:val="en-US" w:eastAsia="zh-CN"/>
        </w:rPr>
        <w:t>2.</w:t>
      </w:r>
      <w:r>
        <w:rPr>
          <w:rFonts w:hint="default" w:ascii="Times New Roman" w:hAnsi="Times New Roman" w:cs="Times New Roman"/>
          <w:szCs w:val="22"/>
        </w:rPr>
        <w:t>公共建筑的新风量应满足现行国家标准《民用建筑供暖通风与空气调节设计规范》GB50376的规定。</w:t>
      </w:r>
    </w:p>
    <w:p w14:paraId="2F7115EB">
      <w:pPr>
        <w:pStyle w:val="258"/>
        <w:numPr>
          <w:ilvl w:val="0"/>
          <w:numId w:val="35"/>
        </w:numPr>
        <w:tabs>
          <w:tab w:val="center" w:pos="4201"/>
          <w:tab w:val="right" w:leader="dot" w:pos="9298"/>
        </w:tabs>
        <w:ind w:firstLineChars="0"/>
        <w:outlineLvl w:val="2"/>
        <w:rPr>
          <w:rFonts w:hint="default" w:ascii="Times New Roman" w:hAnsi="Times New Roman" w:cs="Times New Roman"/>
          <w:szCs w:val="22"/>
        </w:rPr>
      </w:pPr>
      <w:r>
        <w:rPr>
          <w:rFonts w:hint="default" w:ascii="Times New Roman" w:hAnsi="Times New Roman" w:cs="Times New Roman"/>
          <w:szCs w:val="22"/>
        </w:rPr>
        <w:t>超低能耗建筑室内自然采光与通风设计指标应符合下列规定：</w:t>
      </w:r>
    </w:p>
    <w:p w14:paraId="379F3EDA">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 xml:space="preserve">表 </w:t>
      </w:r>
      <w:r>
        <w:rPr>
          <w:rFonts w:hint="eastAsia" w:ascii="黑体" w:hAnsi="黑体" w:eastAsia="黑体" w:cs="黑体"/>
          <w:color w:val="000000"/>
          <w:szCs w:val="21"/>
          <w:lang w:val="en-US" w:eastAsia="zh-CN"/>
        </w:rPr>
        <w:t>4.2.3</w:t>
      </w:r>
      <w:r>
        <w:rPr>
          <w:rFonts w:ascii="黑体" w:hAnsi="黑体" w:eastAsia="黑体" w:cs="黑体"/>
          <w:color w:val="000000"/>
          <w:szCs w:val="21"/>
        </w:rPr>
        <w:t xml:space="preserve">  </w:t>
      </w:r>
      <w:r>
        <w:rPr>
          <w:rFonts w:hint="eastAsia" w:ascii="黑体" w:hAnsi="黑体" w:eastAsia="黑体" w:cs="黑体"/>
          <w:color w:val="000000"/>
          <w:szCs w:val="21"/>
          <w:lang w:val="en-US" w:eastAsia="zh-CN"/>
        </w:rPr>
        <w:t>超低能耗</w:t>
      </w:r>
      <w:r>
        <w:rPr>
          <w:rFonts w:hint="eastAsia" w:ascii="黑体" w:hAnsi="黑体" w:eastAsia="黑体" w:cs="黑体"/>
          <w:color w:val="000000"/>
          <w:szCs w:val="21"/>
        </w:rPr>
        <w:t>建筑</w:t>
      </w:r>
      <w:r>
        <w:rPr>
          <w:rFonts w:ascii="黑体" w:hAnsi="黑体" w:eastAsia="黑体" w:cs="黑体"/>
          <w:color w:val="000000"/>
          <w:szCs w:val="21"/>
        </w:rPr>
        <w:t>室内自然采光与通风设计指标</w:t>
      </w:r>
    </w:p>
    <w:tbl>
      <w:tblPr>
        <w:tblStyle w:val="88"/>
        <w:tblW w:w="933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3937"/>
        <w:gridCol w:w="3742"/>
      </w:tblGrid>
      <w:tr w14:paraId="78CCA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657" w:type="dxa"/>
            <w:vMerge w:val="restart"/>
            <w:vAlign w:val="center"/>
          </w:tcPr>
          <w:p w14:paraId="122AFBD9">
            <w:pPr>
              <w:spacing w:line="240" w:lineRule="auto"/>
              <w:jc w:val="center"/>
              <w:rPr>
                <w:sz w:val="18"/>
                <w:szCs w:val="18"/>
              </w:rPr>
            </w:pPr>
            <w:r>
              <w:rPr>
                <w:sz w:val="18"/>
                <w:szCs w:val="18"/>
              </w:rPr>
              <w:t>类别</w:t>
            </w:r>
          </w:p>
        </w:tc>
        <w:tc>
          <w:tcPr>
            <w:tcW w:w="7679" w:type="dxa"/>
            <w:gridSpan w:val="2"/>
            <w:vAlign w:val="center"/>
          </w:tcPr>
          <w:p w14:paraId="58604625">
            <w:pPr>
              <w:spacing w:line="240" w:lineRule="auto"/>
              <w:jc w:val="center"/>
              <w:rPr>
                <w:sz w:val="18"/>
                <w:szCs w:val="18"/>
              </w:rPr>
            </w:pPr>
            <w:r>
              <w:rPr>
                <w:sz w:val="18"/>
                <w:szCs w:val="18"/>
              </w:rPr>
              <w:t>设计指标</w:t>
            </w:r>
          </w:p>
        </w:tc>
      </w:tr>
      <w:tr w14:paraId="1C5A4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657" w:type="dxa"/>
            <w:vMerge w:val="continue"/>
            <w:vAlign w:val="center"/>
          </w:tcPr>
          <w:p w14:paraId="787F8587">
            <w:pPr>
              <w:spacing w:line="240" w:lineRule="auto"/>
              <w:jc w:val="center"/>
              <w:rPr>
                <w:sz w:val="18"/>
                <w:szCs w:val="18"/>
              </w:rPr>
            </w:pPr>
          </w:p>
        </w:tc>
        <w:tc>
          <w:tcPr>
            <w:tcW w:w="3937" w:type="dxa"/>
            <w:vAlign w:val="center"/>
          </w:tcPr>
          <w:p w14:paraId="65899A60">
            <w:pPr>
              <w:spacing w:line="240" w:lineRule="auto"/>
              <w:jc w:val="center"/>
              <w:rPr>
                <w:rFonts w:hint="default" w:eastAsia="宋体"/>
                <w:sz w:val="18"/>
                <w:szCs w:val="18"/>
                <w:lang w:val="en-US" w:eastAsia="zh-CN"/>
              </w:rPr>
            </w:pPr>
            <w:r>
              <w:rPr>
                <w:rFonts w:hint="eastAsia"/>
                <w:sz w:val="18"/>
                <w:szCs w:val="18"/>
                <w:lang w:val="en-US" w:eastAsia="zh-CN"/>
              </w:rPr>
              <w:t>居住建筑</w:t>
            </w:r>
          </w:p>
        </w:tc>
        <w:tc>
          <w:tcPr>
            <w:tcW w:w="3742" w:type="dxa"/>
            <w:vAlign w:val="center"/>
          </w:tcPr>
          <w:p w14:paraId="404CFFE8">
            <w:pPr>
              <w:spacing w:line="240" w:lineRule="auto"/>
              <w:jc w:val="center"/>
              <w:rPr>
                <w:rFonts w:hint="default" w:eastAsia="宋体"/>
                <w:sz w:val="18"/>
                <w:szCs w:val="18"/>
                <w:lang w:val="en-US" w:eastAsia="zh-CN"/>
              </w:rPr>
            </w:pPr>
            <w:r>
              <w:rPr>
                <w:rFonts w:hint="eastAsia"/>
                <w:sz w:val="18"/>
                <w:szCs w:val="18"/>
                <w:lang w:val="en-US" w:eastAsia="zh-CN"/>
              </w:rPr>
              <w:t>公共建筑</w:t>
            </w:r>
          </w:p>
        </w:tc>
      </w:tr>
      <w:tr w14:paraId="72C01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657" w:type="dxa"/>
            <w:tcBorders>
              <w:bottom w:val="single" w:color="auto" w:sz="4" w:space="0"/>
            </w:tcBorders>
            <w:vAlign w:val="center"/>
          </w:tcPr>
          <w:p w14:paraId="7913468C">
            <w:pPr>
              <w:spacing w:line="240" w:lineRule="auto"/>
              <w:jc w:val="center"/>
              <w:rPr>
                <w:sz w:val="18"/>
                <w:szCs w:val="18"/>
              </w:rPr>
            </w:pPr>
            <w:r>
              <w:rPr>
                <w:sz w:val="18"/>
                <w:szCs w:val="18"/>
              </w:rPr>
              <w:t>自然采光</w:t>
            </w:r>
          </w:p>
        </w:tc>
        <w:tc>
          <w:tcPr>
            <w:tcW w:w="3937" w:type="dxa"/>
            <w:tcBorders>
              <w:bottom w:val="single" w:color="auto" w:sz="4" w:space="0"/>
            </w:tcBorders>
            <w:vAlign w:val="center"/>
          </w:tcPr>
          <w:p w14:paraId="75B77E70">
            <w:pPr>
              <w:spacing w:line="240" w:lineRule="auto"/>
              <w:jc w:val="left"/>
              <w:rPr>
                <w:sz w:val="18"/>
                <w:szCs w:val="18"/>
              </w:rPr>
            </w:pPr>
            <w:r>
              <w:rPr>
                <w:rFonts w:hint="eastAsia"/>
                <w:sz w:val="18"/>
                <w:szCs w:val="18"/>
              </w:rPr>
              <w:t>主要功能房间窗地面积比应达到</w:t>
            </w:r>
            <w:r>
              <w:rPr>
                <w:rFonts w:hint="eastAsia"/>
                <w:sz w:val="18"/>
                <w:szCs w:val="18"/>
                <w:lang w:val="en-US" w:eastAsia="zh-CN"/>
              </w:rPr>
              <w:t>1.1/6</w:t>
            </w:r>
            <w:r>
              <w:rPr>
                <w:rFonts w:hint="eastAsia"/>
                <w:sz w:val="18"/>
                <w:szCs w:val="18"/>
              </w:rPr>
              <w:t>以上</w:t>
            </w:r>
          </w:p>
        </w:tc>
        <w:tc>
          <w:tcPr>
            <w:tcW w:w="3742" w:type="dxa"/>
            <w:tcBorders>
              <w:bottom w:val="single" w:color="auto" w:sz="4" w:space="0"/>
            </w:tcBorders>
            <w:vAlign w:val="center"/>
          </w:tcPr>
          <w:p w14:paraId="152281BE">
            <w:pPr>
              <w:spacing w:line="240" w:lineRule="auto"/>
              <w:jc w:val="left"/>
              <w:rPr>
                <w:sz w:val="18"/>
                <w:szCs w:val="18"/>
              </w:rPr>
            </w:pPr>
            <w:r>
              <w:rPr>
                <w:sz w:val="18"/>
                <w:szCs w:val="18"/>
              </w:rPr>
              <w:t>60</w:t>
            </w:r>
            <w:r>
              <w:rPr>
                <w:rFonts w:hint="eastAsia"/>
                <w:sz w:val="18"/>
                <w:szCs w:val="18"/>
              </w:rPr>
              <w:t>%的功能空间采光照度值不低于采光要求的小时数平均不少于4h/d</w:t>
            </w:r>
          </w:p>
        </w:tc>
      </w:tr>
      <w:tr w14:paraId="13CB9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657" w:type="dxa"/>
            <w:tcBorders>
              <w:top w:val="single" w:color="auto" w:sz="4" w:space="0"/>
              <w:bottom w:val="single" w:color="auto" w:sz="8" w:space="0"/>
            </w:tcBorders>
            <w:vAlign w:val="center"/>
          </w:tcPr>
          <w:p w14:paraId="0B6E903F">
            <w:pPr>
              <w:spacing w:line="240" w:lineRule="auto"/>
              <w:jc w:val="center"/>
              <w:rPr>
                <w:sz w:val="18"/>
                <w:szCs w:val="18"/>
              </w:rPr>
            </w:pPr>
            <w:r>
              <w:rPr>
                <w:sz w:val="18"/>
                <w:szCs w:val="18"/>
              </w:rPr>
              <w:t>自然通风</w:t>
            </w:r>
          </w:p>
        </w:tc>
        <w:tc>
          <w:tcPr>
            <w:tcW w:w="3937" w:type="dxa"/>
            <w:tcBorders>
              <w:top w:val="single" w:color="auto" w:sz="4" w:space="0"/>
              <w:bottom w:val="single" w:color="auto" w:sz="8" w:space="0"/>
            </w:tcBorders>
            <w:vAlign w:val="center"/>
          </w:tcPr>
          <w:p w14:paraId="7B58A304">
            <w:pPr>
              <w:spacing w:line="240" w:lineRule="auto"/>
              <w:jc w:val="left"/>
              <w:rPr>
                <w:sz w:val="18"/>
                <w:szCs w:val="18"/>
              </w:rPr>
            </w:pPr>
            <w:r>
              <w:rPr>
                <w:rFonts w:hint="eastAsia"/>
                <w:sz w:val="18"/>
                <w:szCs w:val="18"/>
              </w:rPr>
              <w:t>主要功能房间通风开口面积与房间地板面积的比例应达到8%以上</w:t>
            </w:r>
          </w:p>
        </w:tc>
        <w:tc>
          <w:tcPr>
            <w:tcW w:w="3742" w:type="dxa"/>
            <w:tcBorders>
              <w:top w:val="single" w:color="auto" w:sz="4" w:space="0"/>
              <w:bottom w:val="single" w:color="auto" w:sz="8" w:space="0"/>
            </w:tcBorders>
            <w:vAlign w:val="center"/>
          </w:tcPr>
          <w:p w14:paraId="387D2A77">
            <w:pPr>
              <w:spacing w:line="240" w:lineRule="auto"/>
              <w:jc w:val="left"/>
              <w:rPr>
                <w:rFonts w:hint="eastAsia"/>
                <w:sz w:val="18"/>
                <w:szCs w:val="18"/>
              </w:rPr>
            </w:pPr>
            <w:r>
              <w:rPr>
                <w:rFonts w:hint="eastAsia"/>
                <w:sz w:val="18"/>
                <w:szCs w:val="18"/>
              </w:rPr>
              <w:t>7</w:t>
            </w:r>
            <w:r>
              <w:rPr>
                <w:sz w:val="18"/>
                <w:szCs w:val="18"/>
              </w:rPr>
              <w:t>0%的功能空间</w:t>
            </w:r>
            <w:r>
              <w:rPr>
                <w:rFonts w:hint="eastAsia"/>
                <w:sz w:val="18"/>
                <w:szCs w:val="18"/>
              </w:rPr>
              <w:t>在过渡季典型工况下室内</w:t>
            </w:r>
            <w:r>
              <w:rPr>
                <w:sz w:val="18"/>
                <w:szCs w:val="18"/>
              </w:rPr>
              <w:t>自然通风换气次数达到2次/h</w:t>
            </w:r>
          </w:p>
        </w:tc>
      </w:tr>
    </w:tbl>
    <w:p w14:paraId="7ED5026B">
      <w:pPr>
        <w:pStyle w:val="258"/>
        <w:widowControl w:val="0"/>
        <w:tabs>
          <w:tab w:val="left" w:pos="765"/>
        </w:tabs>
        <w:overflowPunct w:val="0"/>
        <w:autoSpaceDE/>
        <w:autoSpaceDN/>
        <w:ind w:firstLine="0" w:firstLineChars="0"/>
        <w:rPr>
          <w:rFonts w:ascii="Times New Roman" w:hAnsi="Times New Roman" w:cs="Times New Roman"/>
          <w:color w:val="0000FF"/>
        </w:rPr>
      </w:pPr>
      <w:r>
        <w:rPr>
          <w:rFonts w:hint="eastAsia" w:ascii="Times New Roman" w:hAnsi="Times New Roman" w:cs="Times New Roman"/>
          <w:color w:val="0000FF"/>
        </w:rPr>
        <w:t>【条文说明】天然采光和自然通风符合本</w:t>
      </w:r>
      <w:r>
        <w:rPr>
          <w:rFonts w:hint="eastAsia" w:ascii="Times New Roman" w:hAnsi="Times New Roman" w:cs="Times New Roman"/>
          <w:color w:val="0000FF"/>
          <w:lang w:val="en-US" w:eastAsia="zh-CN"/>
        </w:rPr>
        <w:t>市</w:t>
      </w:r>
      <w:r>
        <w:rPr>
          <w:rFonts w:hint="eastAsia" w:ascii="Times New Roman" w:hAnsi="Times New Roman" w:cs="Times New Roman"/>
          <w:color w:val="0000FF"/>
        </w:rPr>
        <w:t>居民生活习惯，契合地域气候特征，有助于提升室内环境品质和降低建筑供暖空调、照明能耗，因此本标准将天然采光与自然通风性能将纳入超低能耗建筑的约束性指标。</w:t>
      </w:r>
      <w:r>
        <w:rPr>
          <w:rFonts w:hint="eastAsia" w:ascii="Times New Roman" w:cs="Times New Roman"/>
          <w:color w:val="0000FF"/>
          <w:lang w:val="en-US" w:eastAsia="zh-CN"/>
        </w:rPr>
        <w:t>对于公共建筑，</w:t>
      </w:r>
      <w:r>
        <w:rPr>
          <w:rFonts w:hint="eastAsia" w:ascii="Times New Roman" w:hAnsi="Times New Roman" w:cs="Times New Roman"/>
          <w:color w:val="0000FF"/>
        </w:rPr>
        <w:t>由于建筑类型多样，并非全部功能建筑均适合进行天然采光和自然通风，因此本条对需要进行天然采光和自然通风设计的功能范围进行明确，其中天然采光的设计要求针对的是现行国家标准《建筑采光设计标准》GB50333中有采光系数要求的建筑；自然通风设计要求针对办公、酒店和学校类建筑。</w:t>
      </w:r>
    </w:p>
    <w:p w14:paraId="31B1BFDE">
      <w:pPr>
        <w:pStyle w:val="258"/>
        <w:ind w:left="0" w:leftChars="0" w:firstLine="0" w:firstLineChars="0"/>
      </w:pPr>
    </w:p>
    <w:p w14:paraId="41DCE299">
      <w:pPr>
        <w:pStyle w:val="258"/>
        <w:numPr>
          <w:ilvl w:val="0"/>
          <w:numId w:val="33"/>
        </w:numPr>
        <w:spacing w:before="156" w:beforeLines="50" w:after="156" w:afterLines="50"/>
        <w:ind w:firstLineChars="0"/>
        <w:outlineLvl w:val="1"/>
        <w:rPr>
          <w:rFonts w:ascii="黑体" w:hAnsi="黑体" w:eastAsia="黑体"/>
        </w:rPr>
      </w:pPr>
      <w:bookmarkStart w:id="22" w:name="_Toc2950916"/>
      <w:bookmarkStart w:id="23" w:name="_Toc23208"/>
      <w:r>
        <w:rPr>
          <w:rFonts w:hint="eastAsia" w:ascii="黑体" w:hAnsi="黑体" w:eastAsia="黑体"/>
        </w:rPr>
        <w:t>建筑</w:t>
      </w:r>
      <w:r>
        <w:rPr>
          <w:rFonts w:ascii="黑体" w:hAnsi="黑体" w:eastAsia="黑体"/>
        </w:rPr>
        <w:t>能耗及气密性指标</w:t>
      </w:r>
      <w:bookmarkEnd w:id="22"/>
      <w:bookmarkEnd w:id="23"/>
    </w:p>
    <w:p w14:paraId="6B956702">
      <w:pPr>
        <w:pStyle w:val="258"/>
        <w:numPr>
          <w:ilvl w:val="0"/>
          <w:numId w:val="36"/>
        </w:numPr>
        <w:tabs>
          <w:tab w:val="center" w:pos="4201"/>
          <w:tab w:val="right" w:leader="dot" w:pos="9298"/>
        </w:tabs>
        <w:ind w:firstLineChars="0"/>
        <w:outlineLvl w:val="2"/>
        <w:rPr>
          <w:bCs/>
          <w:szCs w:val="22"/>
        </w:rPr>
      </w:pPr>
      <w:r>
        <w:rPr>
          <w:bCs/>
          <w:szCs w:val="22"/>
        </w:rPr>
        <w:t>住宅建筑能耗采用绝对指标控制，设计建筑</w:t>
      </w:r>
      <w:r>
        <w:rPr>
          <w:rFonts w:hint="eastAsia"/>
          <w:bCs/>
          <w:szCs w:val="22"/>
        </w:rPr>
        <w:t>供暖年耗热量</w:t>
      </w:r>
      <w:r>
        <w:rPr>
          <w:bCs/>
          <w:szCs w:val="22"/>
        </w:rPr>
        <w:t>、</w:t>
      </w:r>
      <w:r>
        <w:rPr>
          <w:rFonts w:hint="eastAsia"/>
          <w:bCs/>
          <w:szCs w:val="22"/>
        </w:rPr>
        <w:t>供冷年耗冷量，以</w:t>
      </w:r>
      <w:r>
        <w:rPr>
          <w:bCs/>
          <w:szCs w:val="22"/>
        </w:rPr>
        <w:t>及</w:t>
      </w:r>
      <w:r>
        <w:rPr>
          <w:rFonts w:hint="eastAsia"/>
          <w:bCs/>
          <w:szCs w:val="22"/>
          <w:lang w:val="en-US" w:eastAsia="zh-CN"/>
        </w:rPr>
        <w:t>建筑能耗综合值</w:t>
      </w:r>
      <w:r>
        <w:rPr>
          <w:bCs/>
          <w:szCs w:val="22"/>
        </w:rPr>
        <w:t>应符合如下规定：</w:t>
      </w:r>
    </w:p>
    <w:p w14:paraId="0686AD54">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 xml:space="preserve">表 </w:t>
      </w:r>
      <w:r>
        <w:rPr>
          <w:rFonts w:hint="eastAsia" w:ascii="黑体" w:hAnsi="黑体" w:eastAsia="黑体" w:cs="黑体"/>
          <w:color w:val="000000"/>
          <w:szCs w:val="21"/>
          <w:lang w:val="en-US" w:eastAsia="zh-CN"/>
        </w:rPr>
        <w:t>4.3.1</w:t>
      </w:r>
      <w:r>
        <w:rPr>
          <w:rFonts w:ascii="黑体" w:hAnsi="黑体" w:eastAsia="黑体" w:cs="黑体"/>
          <w:color w:val="000000"/>
          <w:szCs w:val="21"/>
        </w:rPr>
        <w:t xml:space="preserve">  住宅建筑能耗控制指标</w:t>
      </w:r>
    </w:p>
    <w:tbl>
      <w:tblPr>
        <w:tblStyle w:val="88"/>
        <w:tblW w:w="9341"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2105"/>
        <w:gridCol w:w="4211"/>
        <w:gridCol w:w="1319"/>
        <w:gridCol w:w="1706"/>
      </w:tblGrid>
      <w:tr w14:paraId="198D5C2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105" w:type="dxa"/>
            <w:vMerge w:val="restart"/>
            <w:tcBorders>
              <w:top w:val="single" w:color="auto" w:sz="8" w:space="0"/>
              <w:right w:val="single" w:color="auto" w:sz="4" w:space="0"/>
            </w:tcBorders>
            <w:vAlign w:val="center"/>
          </w:tcPr>
          <w:p w14:paraId="01A16306">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能耗指标</w:t>
            </w:r>
          </w:p>
        </w:tc>
        <w:tc>
          <w:tcPr>
            <w:tcW w:w="4211" w:type="dxa"/>
            <w:tcBorders>
              <w:top w:val="single" w:color="auto" w:sz="8" w:space="0"/>
              <w:left w:val="single" w:color="auto" w:sz="4" w:space="0"/>
              <w:bottom w:val="single" w:color="auto" w:sz="4" w:space="0"/>
              <w:right w:val="single" w:color="auto" w:sz="4" w:space="0"/>
            </w:tcBorders>
            <w:vAlign w:val="center"/>
          </w:tcPr>
          <w:p w14:paraId="1F4C6AF5">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类别</w:t>
            </w:r>
          </w:p>
        </w:tc>
        <w:tc>
          <w:tcPr>
            <w:tcW w:w="1319" w:type="dxa"/>
            <w:tcBorders>
              <w:top w:val="single" w:color="auto" w:sz="8" w:space="0"/>
              <w:left w:val="single" w:color="auto" w:sz="4" w:space="0"/>
              <w:bottom w:val="single" w:color="auto" w:sz="4" w:space="0"/>
              <w:right w:val="single" w:color="auto" w:sz="4" w:space="0"/>
            </w:tcBorders>
            <w:vAlign w:val="center"/>
          </w:tcPr>
          <w:p w14:paraId="051CBA11">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单位</w:t>
            </w:r>
          </w:p>
        </w:tc>
        <w:tc>
          <w:tcPr>
            <w:tcW w:w="1706" w:type="dxa"/>
            <w:tcBorders>
              <w:top w:val="single" w:color="auto" w:sz="8" w:space="0"/>
              <w:left w:val="single" w:color="auto" w:sz="4" w:space="0"/>
              <w:bottom w:val="single" w:color="auto" w:sz="4" w:space="0"/>
              <w:right w:val="single" w:color="auto" w:sz="8" w:space="0"/>
            </w:tcBorders>
            <w:vAlign w:val="center"/>
          </w:tcPr>
          <w:p w14:paraId="01F36670">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指标</w:t>
            </w:r>
          </w:p>
        </w:tc>
      </w:tr>
      <w:tr w14:paraId="59A32F3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105" w:type="dxa"/>
            <w:vMerge w:val="continue"/>
            <w:tcBorders>
              <w:top w:val="single" w:color="auto" w:sz="8" w:space="0"/>
              <w:right w:val="single" w:color="auto" w:sz="4" w:space="0"/>
            </w:tcBorders>
            <w:vAlign w:val="center"/>
          </w:tcPr>
          <w:p w14:paraId="5740F023">
            <w:pPr>
              <w:overflowPunct w:val="0"/>
              <w:spacing w:line="360" w:lineRule="auto"/>
              <w:jc w:val="center"/>
              <w:rPr>
                <w:rFonts w:ascii="宋体" w:hAnsi="宋体" w:cs="宋体"/>
                <w:bCs/>
                <w:color w:val="000000"/>
                <w:sz w:val="18"/>
                <w:szCs w:val="18"/>
              </w:rPr>
            </w:pPr>
          </w:p>
        </w:tc>
        <w:tc>
          <w:tcPr>
            <w:tcW w:w="4211" w:type="dxa"/>
            <w:tcBorders>
              <w:top w:val="single" w:color="auto" w:sz="8" w:space="0"/>
              <w:left w:val="single" w:color="auto" w:sz="4" w:space="0"/>
              <w:bottom w:val="single" w:color="auto" w:sz="4" w:space="0"/>
              <w:right w:val="single" w:color="auto" w:sz="4" w:space="0"/>
            </w:tcBorders>
            <w:vAlign w:val="center"/>
          </w:tcPr>
          <w:p w14:paraId="4395271D">
            <w:pPr>
              <w:overflowPunct w:val="0"/>
              <w:spacing w:line="360" w:lineRule="auto"/>
              <w:jc w:val="center"/>
              <w:rPr>
                <w:rFonts w:ascii="宋体" w:hAnsi="宋体" w:cs="宋体"/>
                <w:bCs/>
                <w:color w:val="000000"/>
                <w:sz w:val="18"/>
                <w:szCs w:val="18"/>
              </w:rPr>
            </w:pPr>
            <w:r>
              <w:rPr>
                <w:rFonts w:hint="eastAsia" w:ascii="宋体" w:hAnsi="宋体" w:cs="宋体"/>
                <w:bCs/>
                <w:color w:val="000000"/>
                <w:sz w:val="18"/>
                <w:szCs w:val="18"/>
              </w:rPr>
              <w:t>供暖年耗热量</w:t>
            </w:r>
          </w:p>
        </w:tc>
        <w:tc>
          <w:tcPr>
            <w:tcW w:w="1319" w:type="dxa"/>
            <w:tcBorders>
              <w:top w:val="single" w:color="auto" w:sz="8" w:space="0"/>
              <w:left w:val="single" w:color="auto" w:sz="4" w:space="0"/>
              <w:bottom w:val="single" w:color="auto" w:sz="4" w:space="0"/>
              <w:right w:val="single" w:color="auto" w:sz="4" w:space="0"/>
            </w:tcBorders>
            <w:vAlign w:val="center"/>
          </w:tcPr>
          <w:p w14:paraId="0AED1E0F">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kWh/(m²•a)</w:t>
            </w:r>
          </w:p>
        </w:tc>
        <w:tc>
          <w:tcPr>
            <w:tcW w:w="1706" w:type="dxa"/>
            <w:tcBorders>
              <w:top w:val="single" w:color="auto" w:sz="8" w:space="0"/>
              <w:left w:val="single" w:color="auto" w:sz="4" w:space="0"/>
              <w:bottom w:val="single" w:color="auto" w:sz="4" w:space="0"/>
              <w:right w:val="single" w:color="auto" w:sz="8" w:space="0"/>
            </w:tcBorders>
            <w:vAlign w:val="center"/>
          </w:tcPr>
          <w:p w14:paraId="0B33DB66">
            <w:pPr>
              <w:overflowPunct w:val="0"/>
              <w:spacing w:line="360" w:lineRule="auto"/>
              <w:jc w:val="center"/>
              <w:rPr>
                <w:rFonts w:hint="default" w:ascii="Times New Roman" w:hAnsi="Times New Roman" w:cs="Times New Roman"/>
                <w:bCs/>
                <w:color w:val="000000"/>
                <w:sz w:val="18"/>
                <w:szCs w:val="18"/>
              </w:rPr>
            </w:pPr>
            <w:r>
              <w:rPr>
                <w:rFonts w:hint="default" w:ascii="Times New Roman" w:hAnsi="Times New Roman" w:cs="Times New Roman"/>
                <w:bCs/>
                <w:color w:val="000000"/>
                <w:sz w:val="18"/>
                <w:szCs w:val="18"/>
              </w:rPr>
              <w:t>≤8</w:t>
            </w:r>
          </w:p>
        </w:tc>
      </w:tr>
      <w:tr w14:paraId="0950E86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2105" w:type="dxa"/>
            <w:vMerge w:val="continue"/>
            <w:tcBorders>
              <w:right w:val="single" w:color="auto" w:sz="4" w:space="0"/>
            </w:tcBorders>
            <w:vAlign w:val="center"/>
          </w:tcPr>
          <w:p w14:paraId="52F96BFA">
            <w:pPr>
              <w:overflowPunct w:val="0"/>
              <w:spacing w:line="360" w:lineRule="auto"/>
              <w:jc w:val="center"/>
              <w:rPr>
                <w:rFonts w:ascii="宋体" w:hAnsi="宋体" w:cs="宋体"/>
                <w:bCs/>
                <w:color w:val="000000"/>
                <w:sz w:val="18"/>
                <w:szCs w:val="18"/>
              </w:rPr>
            </w:pPr>
          </w:p>
        </w:tc>
        <w:tc>
          <w:tcPr>
            <w:tcW w:w="4211" w:type="dxa"/>
            <w:tcBorders>
              <w:top w:val="single" w:color="auto" w:sz="4" w:space="0"/>
              <w:left w:val="single" w:color="auto" w:sz="4" w:space="0"/>
              <w:bottom w:val="single" w:color="auto" w:sz="4" w:space="0"/>
              <w:right w:val="single" w:color="auto" w:sz="4" w:space="0"/>
            </w:tcBorders>
            <w:vAlign w:val="center"/>
          </w:tcPr>
          <w:p w14:paraId="4870A469">
            <w:pPr>
              <w:overflowPunct w:val="0"/>
              <w:spacing w:line="360" w:lineRule="auto"/>
              <w:jc w:val="center"/>
              <w:rPr>
                <w:rFonts w:ascii="宋体" w:hAnsi="宋体" w:cs="宋体"/>
                <w:bCs/>
                <w:color w:val="000000"/>
                <w:sz w:val="18"/>
                <w:szCs w:val="18"/>
              </w:rPr>
            </w:pPr>
            <w:r>
              <w:rPr>
                <w:rFonts w:hint="eastAsia" w:ascii="宋体" w:hAnsi="宋体" w:cs="宋体"/>
                <w:bCs/>
                <w:color w:val="000000"/>
                <w:sz w:val="18"/>
                <w:szCs w:val="18"/>
              </w:rPr>
              <w:t>供冷年耗冷量</w:t>
            </w:r>
          </w:p>
        </w:tc>
        <w:tc>
          <w:tcPr>
            <w:tcW w:w="1319" w:type="dxa"/>
            <w:tcBorders>
              <w:top w:val="single" w:color="auto" w:sz="4" w:space="0"/>
              <w:left w:val="single" w:color="auto" w:sz="4" w:space="0"/>
              <w:bottom w:val="single" w:color="auto" w:sz="4" w:space="0"/>
              <w:right w:val="single" w:color="auto" w:sz="4" w:space="0"/>
            </w:tcBorders>
            <w:vAlign w:val="center"/>
          </w:tcPr>
          <w:p w14:paraId="628E9C4F">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kWh/(m²•a)</w:t>
            </w:r>
          </w:p>
        </w:tc>
        <w:tc>
          <w:tcPr>
            <w:tcW w:w="1706" w:type="dxa"/>
            <w:tcBorders>
              <w:top w:val="single" w:color="auto" w:sz="4" w:space="0"/>
              <w:left w:val="single" w:color="auto" w:sz="4" w:space="0"/>
              <w:bottom w:val="single" w:color="auto" w:sz="4" w:space="0"/>
              <w:right w:val="single" w:color="auto" w:sz="8" w:space="0"/>
            </w:tcBorders>
            <w:vAlign w:val="center"/>
          </w:tcPr>
          <w:p w14:paraId="45CE0A5C">
            <w:pPr>
              <w:overflowPunct w:val="0"/>
              <w:spacing w:line="360" w:lineRule="auto"/>
              <w:jc w:val="center"/>
              <w:rPr>
                <w:rFonts w:hint="default" w:ascii="Times New Roman" w:hAnsi="Times New Roman" w:eastAsia="宋体" w:cs="Times New Roman"/>
                <w:bCs/>
                <w:color w:val="000000"/>
                <w:sz w:val="18"/>
                <w:szCs w:val="18"/>
                <w:lang w:val="en-US" w:eastAsia="zh-CN"/>
              </w:rPr>
            </w:pPr>
            <w:r>
              <w:rPr>
                <w:rFonts w:hint="default" w:ascii="Times New Roman" w:hAnsi="Times New Roman" w:cs="Times New Roman"/>
                <w:bCs/>
                <w:color w:val="000000"/>
                <w:sz w:val="18"/>
                <w:szCs w:val="18"/>
              </w:rPr>
              <w:t>≤</w:t>
            </w:r>
            <w:r>
              <w:rPr>
                <w:rFonts w:hint="default" w:ascii="Times New Roman" w:hAnsi="Times New Roman" w:cs="Times New Roman"/>
                <w:bCs/>
                <w:color w:val="000000"/>
                <w:sz w:val="18"/>
                <w:szCs w:val="18"/>
                <w:lang w:val="en-US" w:eastAsia="zh-CN"/>
              </w:rPr>
              <w:t>39</w:t>
            </w:r>
          </w:p>
        </w:tc>
      </w:tr>
      <w:tr w14:paraId="60F389A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2105" w:type="dxa"/>
            <w:vMerge w:val="continue"/>
            <w:tcBorders>
              <w:bottom w:val="single" w:color="auto" w:sz="4" w:space="0"/>
              <w:right w:val="single" w:color="auto" w:sz="4" w:space="0"/>
            </w:tcBorders>
            <w:vAlign w:val="center"/>
          </w:tcPr>
          <w:p w14:paraId="781AB4E1">
            <w:pPr>
              <w:overflowPunct w:val="0"/>
              <w:spacing w:line="360" w:lineRule="auto"/>
              <w:jc w:val="center"/>
              <w:rPr>
                <w:rFonts w:ascii="宋体" w:hAnsi="宋体" w:cs="宋体"/>
                <w:bCs/>
                <w:color w:val="000000"/>
                <w:sz w:val="18"/>
                <w:szCs w:val="18"/>
              </w:rPr>
            </w:pPr>
          </w:p>
        </w:tc>
        <w:tc>
          <w:tcPr>
            <w:tcW w:w="4211" w:type="dxa"/>
            <w:tcBorders>
              <w:top w:val="single" w:color="auto" w:sz="4" w:space="0"/>
              <w:left w:val="single" w:color="auto" w:sz="4" w:space="0"/>
              <w:bottom w:val="single" w:color="auto" w:sz="4" w:space="0"/>
              <w:right w:val="single" w:color="auto" w:sz="4" w:space="0"/>
            </w:tcBorders>
            <w:vAlign w:val="center"/>
          </w:tcPr>
          <w:p w14:paraId="680F5C29">
            <w:pPr>
              <w:overflowPunct w:val="0"/>
              <w:spacing w:line="360" w:lineRule="auto"/>
              <w:jc w:val="center"/>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建筑能耗综合值</w:t>
            </w:r>
          </w:p>
        </w:tc>
        <w:tc>
          <w:tcPr>
            <w:tcW w:w="1319" w:type="dxa"/>
            <w:tcBorders>
              <w:top w:val="single" w:color="auto" w:sz="4" w:space="0"/>
              <w:left w:val="single" w:color="auto" w:sz="4" w:space="0"/>
              <w:bottom w:val="single" w:color="auto" w:sz="4" w:space="0"/>
              <w:right w:val="single" w:color="auto" w:sz="4" w:space="0"/>
            </w:tcBorders>
            <w:vAlign w:val="center"/>
          </w:tcPr>
          <w:p w14:paraId="10ED362A">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kWh/(m²•a)</w:t>
            </w:r>
          </w:p>
        </w:tc>
        <w:tc>
          <w:tcPr>
            <w:tcW w:w="1706" w:type="dxa"/>
            <w:tcBorders>
              <w:top w:val="single" w:color="auto" w:sz="4" w:space="0"/>
              <w:left w:val="single" w:color="auto" w:sz="4" w:space="0"/>
              <w:bottom w:val="single" w:color="auto" w:sz="4" w:space="0"/>
              <w:right w:val="single" w:color="auto" w:sz="8" w:space="0"/>
            </w:tcBorders>
            <w:vAlign w:val="center"/>
          </w:tcPr>
          <w:p w14:paraId="1F200905">
            <w:pPr>
              <w:overflowPunct w:val="0"/>
              <w:spacing w:line="360" w:lineRule="auto"/>
              <w:jc w:val="center"/>
              <w:rPr>
                <w:rFonts w:hint="default" w:ascii="Times New Roman" w:hAnsi="Times New Roman" w:cs="Times New Roman"/>
                <w:bCs/>
                <w:color w:val="000000"/>
                <w:sz w:val="18"/>
                <w:szCs w:val="18"/>
              </w:rPr>
            </w:pPr>
            <w:r>
              <w:rPr>
                <w:rFonts w:hint="default" w:ascii="Times New Roman" w:hAnsi="Times New Roman" w:cs="Times New Roman"/>
                <w:bCs/>
                <w:color w:val="000000"/>
                <w:sz w:val="18"/>
                <w:szCs w:val="18"/>
              </w:rPr>
              <w:t>≤60</w:t>
            </w:r>
          </w:p>
        </w:tc>
      </w:tr>
      <w:tr w14:paraId="40AB1EE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105" w:type="dxa"/>
            <w:tcBorders>
              <w:top w:val="single" w:color="auto" w:sz="4" w:space="0"/>
              <w:bottom w:val="single" w:color="auto" w:sz="4" w:space="0"/>
              <w:right w:val="single" w:color="auto" w:sz="4" w:space="0"/>
            </w:tcBorders>
            <w:vAlign w:val="center"/>
          </w:tcPr>
          <w:p w14:paraId="590CDCDE">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气密性指标</w:t>
            </w:r>
          </w:p>
        </w:tc>
        <w:tc>
          <w:tcPr>
            <w:tcW w:w="4211" w:type="dxa"/>
            <w:tcBorders>
              <w:top w:val="single" w:color="auto" w:sz="4" w:space="0"/>
              <w:left w:val="single" w:color="auto" w:sz="4" w:space="0"/>
              <w:bottom w:val="single" w:color="auto" w:sz="4" w:space="0"/>
              <w:right w:val="single" w:color="auto" w:sz="4" w:space="0"/>
            </w:tcBorders>
            <w:vAlign w:val="center"/>
          </w:tcPr>
          <w:p w14:paraId="535DA661">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气密性指标</w:t>
            </w:r>
            <w:r>
              <w:rPr>
                <w:rFonts w:hint="eastAsia" w:ascii="宋体" w:hAnsi="宋体" w:cs="宋体"/>
                <w:bCs/>
                <w:color w:val="000000"/>
                <w:sz w:val="18"/>
                <w:szCs w:val="18"/>
              </w:rPr>
              <w:t>N</w:t>
            </w:r>
            <w:r>
              <w:rPr>
                <w:rFonts w:ascii="宋体" w:hAnsi="宋体" w:cs="宋体"/>
                <w:bCs/>
                <w:color w:val="000000"/>
                <w:sz w:val="18"/>
                <w:szCs w:val="18"/>
                <w:vertAlign w:val="subscript"/>
              </w:rPr>
              <w:t>50</w:t>
            </w:r>
          </w:p>
        </w:tc>
        <w:tc>
          <w:tcPr>
            <w:tcW w:w="1319" w:type="dxa"/>
            <w:tcBorders>
              <w:top w:val="single" w:color="auto" w:sz="4" w:space="0"/>
              <w:left w:val="single" w:color="auto" w:sz="4" w:space="0"/>
              <w:bottom w:val="single" w:color="auto" w:sz="4" w:space="0"/>
              <w:right w:val="single" w:color="auto" w:sz="4" w:space="0"/>
            </w:tcBorders>
            <w:vAlign w:val="center"/>
          </w:tcPr>
          <w:p w14:paraId="00D04AA0">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h</w:t>
            </w:r>
            <w:r>
              <w:rPr>
                <w:rFonts w:hint="eastAsia" w:ascii="宋体" w:hAnsi="宋体" w:cs="宋体"/>
                <w:bCs/>
                <w:color w:val="000000"/>
                <w:sz w:val="18"/>
                <w:szCs w:val="18"/>
                <w:vertAlign w:val="superscript"/>
              </w:rPr>
              <w:t>-</w:t>
            </w:r>
            <w:r>
              <w:rPr>
                <w:rFonts w:ascii="宋体" w:hAnsi="宋体" w:cs="宋体"/>
                <w:bCs/>
                <w:color w:val="000000"/>
                <w:sz w:val="18"/>
                <w:szCs w:val="18"/>
                <w:vertAlign w:val="superscript"/>
              </w:rPr>
              <w:t>1</w:t>
            </w:r>
          </w:p>
        </w:tc>
        <w:tc>
          <w:tcPr>
            <w:tcW w:w="1706" w:type="dxa"/>
            <w:tcBorders>
              <w:top w:val="single" w:color="auto" w:sz="4" w:space="0"/>
              <w:left w:val="single" w:color="auto" w:sz="4" w:space="0"/>
              <w:bottom w:val="single" w:color="auto" w:sz="4" w:space="0"/>
              <w:right w:val="single" w:color="auto" w:sz="8" w:space="0"/>
            </w:tcBorders>
            <w:vAlign w:val="center"/>
          </w:tcPr>
          <w:p w14:paraId="4F52D87B">
            <w:pPr>
              <w:overflowPunct w:val="0"/>
              <w:spacing w:line="360" w:lineRule="auto"/>
              <w:jc w:val="center"/>
              <w:rPr>
                <w:rFonts w:hint="default" w:ascii="Times New Roman" w:hAnsi="Times New Roman" w:cs="Times New Roman"/>
                <w:bCs/>
                <w:color w:val="000000"/>
                <w:sz w:val="18"/>
                <w:szCs w:val="18"/>
              </w:rPr>
            </w:pPr>
            <w:r>
              <w:rPr>
                <w:rFonts w:hint="default" w:ascii="Times New Roman" w:hAnsi="Times New Roman" w:cs="Times New Roman"/>
                <w:bCs/>
                <w:color w:val="000000"/>
                <w:sz w:val="18"/>
                <w:szCs w:val="18"/>
              </w:rPr>
              <w:t>≤1.0</w:t>
            </w:r>
          </w:p>
        </w:tc>
      </w:tr>
      <w:tr w14:paraId="2C86481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9341" w:type="dxa"/>
            <w:gridSpan w:val="4"/>
            <w:tcBorders>
              <w:top w:val="single" w:color="auto" w:sz="4" w:space="0"/>
              <w:bottom w:val="single" w:color="auto" w:sz="8" w:space="0"/>
              <w:right w:val="single" w:color="auto" w:sz="8" w:space="0"/>
            </w:tcBorders>
            <w:vAlign w:val="center"/>
          </w:tcPr>
          <w:p w14:paraId="0B0B92E4">
            <w:pPr>
              <w:overflowPunct w:val="0"/>
              <w:jc w:val="left"/>
              <w:rPr>
                <w:rFonts w:hint="eastAsia" w:ascii="宋体" w:hAnsi="宋体" w:cs="宋体"/>
                <w:bCs/>
                <w:color w:val="000000"/>
                <w:sz w:val="18"/>
                <w:szCs w:val="18"/>
              </w:rPr>
            </w:pPr>
            <w:r>
              <w:rPr>
                <w:rFonts w:hint="eastAsia" w:ascii="宋体" w:hAnsi="宋体" w:cs="宋体"/>
                <w:bCs/>
                <w:color w:val="000000"/>
                <w:sz w:val="18"/>
                <w:szCs w:val="18"/>
              </w:rPr>
              <w:t>注1：表中㎡为供暖、供冷空间使用面积，住宅按套内使用面积计算。</w:t>
            </w:r>
          </w:p>
          <w:p w14:paraId="157B43F9">
            <w:pPr>
              <w:overflowPunct w:val="0"/>
              <w:jc w:val="left"/>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注2：</w:t>
            </w:r>
            <w:r>
              <w:rPr>
                <w:rFonts w:hint="eastAsia" w:ascii="宋体" w:hAnsi="宋体" w:cs="宋体"/>
                <w:bCs/>
                <w:color w:val="000000"/>
                <w:sz w:val="18"/>
                <w:szCs w:val="18"/>
              </w:rPr>
              <w:t>能耗降低幅度比较标准为国家标准</w:t>
            </w:r>
            <w:r>
              <w:rPr>
                <w:rFonts w:ascii="宋体" w:hAnsi="宋体" w:cs="宋体"/>
                <w:bCs/>
                <w:color w:val="000000"/>
                <w:sz w:val="18"/>
                <w:szCs w:val="18"/>
              </w:rPr>
              <w:t>《</w:t>
            </w:r>
            <w:r>
              <w:rPr>
                <w:rFonts w:hint="eastAsia" w:ascii="宋体" w:hAnsi="宋体" w:cs="宋体"/>
                <w:bCs/>
                <w:color w:val="000000"/>
                <w:sz w:val="18"/>
                <w:szCs w:val="18"/>
                <w:lang w:val="en-US" w:eastAsia="zh-CN"/>
              </w:rPr>
              <w:t>建筑节能与可再生能源利用通用规范</w:t>
            </w:r>
            <w:r>
              <w:rPr>
                <w:rFonts w:ascii="宋体" w:hAnsi="宋体" w:cs="宋体"/>
                <w:bCs/>
                <w:color w:val="000000"/>
                <w:sz w:val="18"/>
                <w:szCs w:val="18"/>
              </w:rPr>
              <w:t>》</w:t>
            </w:r>
            <w:r>
              <w:rPr>
                <w:rFonts w:hint="eastAsia" w:ascii="宋体" w:hAnsi="宋体" w:cs="宋体"/>
                <w:bCs/>
                <w:color w:val="000000"/>
                <w:sz w:val="18"/>
                <w:szCs w:val="18"/>
              </w:rPr>
              <w:t>GB</w:t>
            </w:r>
            <w:r>
              <w:rPr>
                <w:rFonts w:hint="eastAsia" w:ascii="宋体" w:hAnsi="宋体" w:cs="宋体"/>
                <w:bCs/>
                <w:color w:val="000000"/>
                <w:sz w:val="18"/>
                <w:szCs w:val="18"/>
                <w:lang w:val="en-US" w:eastAsia="zh-CN"/>
              </w:rPr>
              <w:t>55015-2021。</w:t>
            </w:r>
          </w:p>
        </w:tc>
      </w:tr>
    </w:tbl>
    <w:p w14:paraId="75A176F7">
      <w:pPr>
        <w:pStyle w:val="258"/>
        <w:ind w:firstLine="0" w:firstLineChars="0"/>
        <w:rPr>
          <w:rFonts w:hint="eastAsia" w:ascii="Times New Roman" w:hAnsi="Times New Roman" w:cs="Times New Roman"/>
          <w:color w:val="0000FF"/>
        </w:rPr>
      </w:pPr>
      <w:r>
        <w:rPr>
          <w:rFonts w:hint="eastAsia" w:ascii="Times New Roman" w:hAnsi="Times New Roman" w:cs="Times New Roman"/>
          <w:color w:val="0000FF"/>
        </w:rPr>
        <w:t>【条文说明】能效指标是判别建筑是否达到超低能耗建筑标准的约束性指标。本标准提出的超低能耗居住建筑能效指标包括供暖年耗热量、供冷年耗冷量、建筑能耗综合值</w:t>
      </w:r>
      <w:r>
        <w:rPr>
          <w:rFonts w:hint="eastAsia" w:ascii="Times New Roman" w:cs="Times New Roman"/>
          <w:color w:val="0000FF"/>
          <w:lang w:val="en-US" w:eastAsia="zh-CN"/>
        </w:rPr>
        <w:t>三</w:t>
      </w:r>
      <w:r>
        <w:rPr>
          <w:rFonts w:hint="eastAsia" w:ascii="Times New Roman" w:hAnsi="Times New Roman" w:cs="Times New Roman"/>
          <w:color w:val="0000FF"/>
        </w:rPr>
        <w:t>部分，需要同时满足要求。</w:t>
      </w:r>
    </w:p>
    <w:p w14:paraId="2829106D">
      <w:pPr>
        <w:pStyle w:val="258"/>
        <w:ind w:firstLine="0" w:firstLineChars="0"/>
        <w:rPr>
          <w:rFonts w:hint="eastAsia" w:ascii="Times New Roman" w:hAnsi="Times New Roman" w:cs="Times New Roman"/>
          <w:color w:val="0000FF"/>
          <w:szCs w:val="22"/>
        </w:rPr>
      </w:pPr>
      <w:r>
        <w:rPr>
          <w:rFonts w:hint="eastAsia" w:ascii="Times New Roman" w:hAnsi="Times New Roman" w:cs="Times New Roman"/>
          <w:color w:val="0000FF"/>
          <w:szCs w:val="22"/>
        </w:rPr>
        <w:t>建筑能效指标确定的原则和方法如下：</w:t>
      </w:r>
    </w:p>
    <w:p w14:paraId="6890E138">
      <w:pPr>
        <w:pStyle w:val="258"/>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Times New Roman" w:hAnsi="Times New Roman" w:cs="Times New Roman"/>
          <w:color w:val="0000FF"/>
          <w:szCs w:val="22"/>
        </w:rPr>
      </w:pPr>
      <w:r>
        <w:rPr>
          <w:rFonts w:hint="eastAsia" w:ascii="Times New Roman" w:hAnsi="Times New Roman" w:cs="Times New Roman"/>
          <w:color w:val="0000FF"/>
          <w:szCs w:val="22"/>
        </w:rPr>
        <w:t>1.提升建筑能效。超低能耗建筑的节能水平，应较现有建筑节能水平大幅度提高，建筑能耗综合值是该目标最直接的体现方法。本标准中提出的建筑能耗综合值采用绝对值进行表述，是基于居住建筑能耗特点确定的方案。该值是在典型居住建筑模型计算的基础上，根据能耗降低幅度要求以及技术可达性分析，经综合比较确定。</w:t>
      </w:r>
    </w:p>
    <w:p w14:paraId="43D3EA76">
      <w:pPr>
        <w:pStyle w:val="258"/>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Times New Roman" w:hAnsi="Times New Roman" w:cs="Times New Roman"/>
          <w:color w:val="0000FF"/>
          <w:szCs w:val="22"/>
        </w:rPr>
      </w:pPr>
      <w:r>
        <w:rPr>
          <w:rFonts w:hint="eastAsia" w:ascii="Times New Roman" w:hAnsi="Times New Roman" w:cs="Times New Roman"/>
          <w:color w:val="0000FF"/>
          <w:szCs w:val="22"/>
        </w:rPr>
        <w:t>2.引导被动式设计。高性能外墙、外窗以及遮阳等被动式技术是响应地域气候的重要措施，对提升能效和改善环境具有重要意义，在超低能耗建筑的技术路线中应优先考虑。供暖年耗热量、供冷年耗冷量反映了建筑围护结构热工的热水水平以及热回收装置的应用效果，通过两个指标可以有效的引导建筑被动式设计措施应用。</w:t>
      </w:r>
    </w:p>
    <w:p w14:paraId="1140A566">
      <w:pPr>
        <w:pStyle w:val="258"/>
        <w:numPr>
          <w:ilvl w:val="0"/>
          <w:numId w:val="36"/>
        </w:numPr>
        <w:tabs>
          <w:tab w:val="center" w:pos="4201"/>
          <w:tab w:val="right" w:leader="dot" w:pos="9298"/>
        </w:tabs>
        <w:ind w:firstLineChars="0"/>
        <w:jc w:val="left"/>
        <w:outlineLvl w:val="2"/>
        <w:rPr>
          <w:rFonts w:ascii="黑体" w:hAnsi="黑体" w:eastAsia="黑体" w:cs="黑体"/>
          <w:color w:val="000000"/>
          <w:szCs w:val="21"/>
        </w:rPr>
      </w:pPr>
      <w:r>
        <w:rPr>
          <w:szCs w:val="22"/>
        </w:rPr>
        <w:t>公共建筑能耗采用相对指标控制，设计建筑的</w:t>
      </w:r>
      <w:r>
        <w:rPr>
          <w:rFonts w:hint="eastAsia"/>
          <w:szCs w:val="22"/>
        </w:rPr>
        <w:t>全年</w:t>
      </w:r>
      <w:r>
        <w:rPr>
          <w:szCs w:val="22"/>
        </w:rPr>
        <w:t>累计</w:t>
      </w:r>
      <w:r>
        <w:rPr>
          <w:rFonts w:hint="eastAsia"/>
          <w:szCs w:val="22"/>
        </w:rPr>
        <w:t>耗冷热量</w:t>
      </w:r>
      <w:r>
        <w:rPr>
          <w:szCs w:val="22"/>
        </w:rPr>
        <w:t>、供暖空调照明</w:t>
      </w:r>
      <w:r>
        <w:rPr>
          <w:rFonts w:hint="eastAsia"/>
          <w:szCs w:val="22"/>
        </w:rPr>
        <w:t>生活热水电梯</w:t>
      </w:r>
      <w:r>
        <w:rPr>
          <w:szCs w:val="22"/>
        </w:rPr>
        <w:t>一次能源消耗量降低幅度应符合如下规定：</w:t>
      </w:r>
    </w:p>
    <w:p w14:paraId="4F7B0CD6">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 xml:space="preserve">表 </w:t>
      </w:r>
      <w:r>
        <w:rPr>
          <w:rFonts w:ascii="黑体" w:hAnsi="黑体" w:eastAsia="黑体" w:cs="黑体"/>
          <w:color w:val="000000"/>
          <w:szCs w:val="21"/>
        </w:rPr>
        <w:fldChar w:fldCharType="begin"/>
      </w:r>
      <w:r>
        <w:rPr>
          <w:rFonts w:ascii="黑体" w:hAnsi="黑体" w:eastAsia="黑体" w:cs="黑体"/>
          <w:color w:val="000000"/>
          <w:szCs w:val="21"/>
        </w:rPr>
        <w:instrText xml:space="preserve"> </w:instrText>
      </w:r>
      <w:r>
        <w:rPr>
          <w:rFonts w:hint="eastAsia" w:ascii="黑体" w:hAnsi="黑体" w:eastAsia="黑体" w:cs="黑体"/>
          <w:color w:val="000000"/>
          <w:szCs w:val="21"/>
        </w:rPr>
        <w:instrText xml:space="preserve">SEQ 表 \* ARABIC</w:instrText>
      </w:r>
      <w:r>
        <w:rPr>
          <w:rFonts w:ascii="黑体" w:hAnsi="黑体" w:eastAsia="黑体" w:cs="黑体"/>
          <w:color w:val="000000"/>
          <w:szCs w:val="21"/>
        </w:rPr>
        <w:instrText xml:space="preserve"> </w:instrText>
      </w:r>
      <w:r>
        <w:rPr>
          <w:rFonts w:ascii="黑体" w:hAnsi="黑体" w:eastAsia="黑体" w:cs="黑体"/>
          <w:color w:val="000000"/>
          <w:szCs w:val="21"/>
        </w:rPr>
        <w:fldChar w:fldCharType="separate"/>
      </w:r>
      <w:r>
        <w:rPr>
          <w:rFonts w:ascii="黑体" w:hAnsi="黑体" w:eastAsia="黑体" w:cs="黑体"/>
          <w:color w:val="000000"/>
          <w:szCs w:val="21"/>
        </w:rPr>
        <w:t>4</w:t>
      </w:r>
      <w:r>
        <w:rPr>
          <w:rFonts w:ascii="黑体" w:hAnsi="黑体" w:eastAsia="黑体" w:cs="黑体"/>
          <w:color w:val="000000"/>
          <w:szCs w:val="21"/>
        </w:rPr>
        <w:fldChar w:fldCharType="end"/>
      </w:r>
      <w:r>
        <w:rPr>
          <w:rFonts w:hint="eastAsia" w:ascii="黑体" w:hAnsi="黑体" w:eastAsia="黑体" w:cs="黑体"/>
          <w:color w:val="000000"/>
          <w:szCs w:val="21"/>
          <w:lang w:val="en-US" w:eastAsia="zh-CN"/>
        </w:rPr>
        <w:t>.3.2</w:t>
      </w:r>
      <w:r>
        <w:rPr>
          <w:rFonts w:ascii="黑体" w:hAnsi="黑体" w:eastAsia="黑体" w:cs="黑体"/>
          <w:color w:val="000000"/>
          <w:szCs w:val="21"/>
        </w:rPr>
        <w:t xml:space="preserve">  公共建筑能耗控制指标</w:t>
      </w:r>
    </w:p>
    <w:tbl>
      <w:tblPr>
        <w:tblStyle w:val="88"/>
        <w:tblW w:w="9341"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826"/>
        <w:gridCol w:w="4350"/>
        <w:gridCol w:w="1459"/>
        <w:gridCol w:w="1706"/>
      </w:tblGrid>
      <w:tr w14:paraId="7D1A700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826" w:type="dxa"/>
            <w:vMerge w:val="restart"/>
            <w:tcBorders>
              <w:top w:val="single" w:color="auto" w:sz="8" w:space="0"/>
              <w:bottom w:val="single" w:color="auto" w:sz="4" w:space="0"/>
              <w:right w:val="single" w:color="auto" w:sz="4" w:space="0"/>
            </w:tcBorders>
            <w:vAlign w:val="center"/>
          </w:tcPr>
          <w:p w14:paraId="27CA7B1A">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能耗指标</w:t>
            </w:r>
          </w:p>
        </w:tc>
        <w:tc>
          <w:tcPr>
            <w:tcW w:w="4350" w:type="dxa"/>
            <w:tcBorders>
              <w:top w:val="single" w:color="auto" w:sz="8" w:space="0"/>
              <w:left w:val="single" w:color="auto" w:sz="4" w:space="0"/>
              <w:bottom w:val="single" w:color="auto" w:sz="4" w:space="0"/>
              <w:right w:val="single" w:color="auto" w:sz="4" w:space="0"/>
            </w:tcBorders>
            <w:vAlign w:val="center"/>
          </w:tcPr>
          <w:p w14:paraId="301D7A13">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类别</w:t>
            </w:r>
          </w:p>
        </w:tc>
        <w:tc>
          <w:tcPr>
            <w:tcW w:w="1459" w:type="dxa"/>
            <w:tcBorders>
              <w:top w:val="single" w:color="auto" w:sz="8" w:space="0"/>
              <w:left w:val="single" w:color="auto" w:sz="4" w:space="0"/>
              <w:bottom w:val="single" w:color="auto" w:sz="4" w:space="0"/>
              <w:right w:val="single" w:color="auto" w:sz="4" w:space="0"/>
            </w:tcBorders>
            <w:vAlign w:val="center"/>
          </w:tcPr>
          <w:p w14:paraId="754B0500">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单位</w:t>
            </w:r>
          </w:p>
        </w:tc>
        <w:tc>
          <w:tcPr>
            <w:tcW w:w="1706" w:type="dxa"/>
            <w:tcBorders>
              <w:top w:val="single" w:color="auto" w:sz="8" w:space="0"/>
              <w:left w:val="single" w:color="auto" w:sz="4" w:space="0"/>
              <w:bottom w:val="single" w:color="auto" w:sz="4" w:space="0"/>
              <w:right w:val="single" w:color="auto" w:sz="8" w:space="0"/>
            </w:tcBorders>
            <w:vAlign w:val="center"/>
          </w:tcPr>
          <w:p w14:paraId="0BD06843">
            <w:pPr>
              <w:overflowPunct w:val="0"/>
              <w:spacing w:line="360" w:lineRule="auto"/>
              <w:jc w:val="center"/>
              <w:rPr>
                <w:rFonts w:ascii="宋体" w:hAnsi="宋体" w:cs="宋体"/>
                <w:bCs/>
                <w:color w:val="000000"/>
                <w:sz w:val="18"/>
                <w:szCs w:val="18"/>
              </w:rPr>
            </w:pPr>
            <w:r>
              <w:rPr>
                <w:rFonts w:ascii="宋体" w:hAnsi="宋体" w:cs="宋体"/>
                <w:bCs/>
                <w:color w:val="000000"/>
                <w:sz w:val="18"/>
                <w:szCs w:val="18"/>
              </w:rPr>
              <w:t>指标</w:t>
            </w:r>
          </w:p>
        </w:tc>
      </w:tr>
      <w:tr w14:paraId="25625D8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826" w:type="dxa"/>
            <w:vMerge w:val="continue"/>
            <w:tcBorders>
              <w:top w:val="single" w:color="auto" w:sz="8" w:space="0"/>
              <w:bottom w:val="single" w:color="auto" w:sz="4" w:space="0"/>
              <w:right w:val="single" w:color="auto" w:sz="4" w:space="0"/>
            </w:tcBorders>
            <w:vAlign w:val="center"/>
          </w:tcPr>
          <w:p w14:paraId="51DFD36C">
            <w:pPr>
              <w:overflowPunct w:val="0"/>
              <w:spacing w:line="360" w:lineRule="auto"/>
              <w:jc w:val="center"/>
              <w:rPr>
                <w:rFonts w:ascii="宋体" w:hAnsi="宋体" w:cs="宋体"/>
                <w:bCs/>
                <w:color w:val="000000"/>
                <w:sz w:val="18"/>
                <w:szCs w:val="18"/>
              </w:rPr>
            </w:pPr>
          </w:p>
        </w:tc>
        <w:tc>
          <w:tcPr>
            <w:tcW w:w="4350" w:type="dxa"/>
            <w:tcBorders>
              <w:top w:val="single" w:color="auto" w:sz="8" w:space="0"/>
              <w:left w:val="single" w:color="auto" w:sz="4" w:space="0"/>
              <w:bottom w:val="single" w:color="auto" w:sz="4" w:space="0"/>
              <w:right w:val="single" w:color="auto" w:sz="4" w:space="0"/>
            </w:tcBorders>
            <w:vAlign w:val="center"/>
          </w:tcPr>
          <w:p w14:paraId="7D6FDB09">
            <w:pPr>
              <w:overflowPunct w:val="0"/>
              <w:spacing w:line="360" w:lineRule="auto"/>
              <w:jc w:val="center"/>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建筑本体节能率</w:t>
            </w:r>
          </w:p>
        </w:tc>
        <w:tc>
          <w:tcPr>
            <w:tcW w:w="1459" w:type="dxa"/>
            <w:tcBorders>
              <w:top w:val="single" w:color="auto" w:sz="8" w:space="0"/>
              <w:left w:val="single" w:color="auto" w:sz="4" w:space="0"/>
              <w:bottom w:val="single" w:color="auto" w:sz="4" w:space="0"/>
              <w:right w:val="single" w:color="auto" w:sz="4" w:space="0"/>
            </w:tcBorders>
            <w:vAlign w:val="center"/>
          </w:tcPr>
          <w:p w14:paraId="19D86743">
            <w:pPr>
              <w:overflowPunct w:val="0"/>
              <w:spacing w:line="360" w:lineRule="auto"/>
              <w:jc w:val="center"/>
              <w:rPr>
                <w:rFonts w:ascii="宋体" w:hAnsi="宋体" w:cs="宋体"/>
                <w:bCs/>
                <w:color w:val="000000"/>
                <w:sz w:val="18"/>
                <w:szCs w:val="18"/>
              </w:rPr>
            </w:pPr>
            <w:r>
              <w:rPr>
                <w:rFonts w:hint="eastAsia" w:ascii="宋体" w:hAnsi="宋体" w:cs="宋体"/>
                <w:bCs/>
                <w:color w:val="000000"/>
                <w:sz w:val="18"/>
                <w:szCs w:val="18"/>
              </w:rPr>
              <w:t>%</w:t>
            </w:r>
          </w:p>
        </w:tc>
        <w:tc>
          <w:tcPr>
            <w:tcW w:w="1706" w:type="dxa"/>
            <w:tcBorders>
              <w:top w:val="single" w:color="auto" w:sz="8" w:space="0"/>
              <w:left w:val="single" w:color="auto" w:sz="4" w:space="0"/>
              <w:bottom w:val="single" w:color="auto" w:sz="4" w:space="0"/>
              <w:right w:val="single" w:color="auto" w:sz="8" w:space="0"/>
            </w:tcBorders>
            <w:vAlign w:val="center"/>
          </w:tcPr>
          <w:p w14:paraId="5EEBB18E">
            <w:pPr>
              <w:overflowPunct w:val="0"/>
              <w:spacing w:line="360" w:lineRule="auto"/>
              <w:jc w:val="center"/>
              <w:rPr>
                <w:rFonts w:hint="default" w:ascii="宋体" w:hAnsi="宋体" w:eastAsia="宋体" w:cs="宋体"/>
                <w:bCs/>
                <w:color w:val="000000"/>
                <w:sz w:val="18"/>
                <w:szCs w:val="18"/>
                <w:lang w:val="en-US" w:eastAsia="zh-CN"/>
              </w:rPr>
            </w:pPr>
            <w:r>
              <w:rPr>
                <w:rFonts w:ascii="宋体" w:hAnsi="宋体" w:cs="宋体"/>
                <w:bCs/>
                <w:color w:val="000000"/>
                <w:sz w:val="18"/>
                <w:szCs w:val="18"/>
              </w:rPr>
              <w:t>≥</w:t>
            </w:r>
            <w:r>
              <w:rPr>
                <w:rFonts w:hint="eastAsia" w:ascii="宋体" w:hAnsi="宋体" w:cs="宋体"/>
                <w:bCs/>
                <w:color w:val="000000"/>
                <w:sz w:val="18"/>
                <w:szCs w:val="18"/>
                <w:lang w:val="en-US" w:eastAsia="zh-CN"/>
              </w:rPr>
              <w:t>15.0</w:t>
            </w:r>
          </w:p>
        </w:tc>
      </w:tr>
      <w:tr w14:paraId="1932A03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1826" w:type="dxa"/>
            <w:vMerge w:val="continue"/>
            <w:tcBorders>
              <w:top w:val="single" w:color="auto" w:sz="4" w:space="0"/>
              <w:bottom w:val="single" w:color="auto" w:sz="4" w:space="0"/>
              <w:right w:val="single" w:color="auto" w:sz="4" w:space="0"/>
            </w:tcBorders>
            <w:vAlign w:val="center"/>
          </w:tcPr>
          <w:p w14:paraId="4E8B5A53">
            <w:pPr>
              <w:overflowPunct w:val="0"/>
              <w:spacing w:line="360" w:lineRule="auto"/>
              <w:jc w:val="center"/>
              <w:rPr>
                <w:rFonts w:ascii="宋体" w:hAnsi="宋体" w:cs="宋体"/>
                <w:bCs/>
                <w:color w:val="000000"/>
                <w:sz w:val="18"/>
                <w:szCs w:val="18"/>
              </w:rPr>
            </w:pPr>
          </w:p>
        </w:tc>
        <w:tc>
          <w:tcPr>
            <w:tcW w:w="4350" w:type="dxa"/>
            <w:tcBorders>
              <w:top w:val="single" w:color="auto" w:sz="4" w:space="0"/>
              <w:left w:val="single" w:color="auto" w:sz="4" w:space="0"/>
              <w:bottom w:val="single" w:color="auto" w:sz="4" w:space="0"/>
              <w:right w:val="single" w:color="auto" w:sz="4" w:space="0"/>
            </w:tcBorders>
            <w:vAlign w:val="center"/>
          </w:tcPr>
          <w:p w14:paraId="5BC7BB57">
            <w:pPr>
              <w:overflowPunct w:val="0"/>
              <w:spacing w:line="360" w:lineRule="auto"/>
              <w:jc w:val="center"/>
              <w:rPr>
                <w:rFonts w:hint="default" w:ascii="宋体" w:hAnsi="宋体" w:eastAsia="宋体" w:cs="宋体"/>
                <w:bCs/>
                <w:color w:val="000000"/>
                <w:sz w:val="18"/>
                <w:szCs w:val="18"/>
                <w:lang w:val="en-US" w:eastAsia="zh-CN"/>
              </w:rPr>
            </w:pPr>
            <w:r>
              <w:rPr>
                <w:rFonts w:hint="eastAsia" w:ascii="宋体" w:hAnsi="宋体" w:cs="宋体"/>
                <w:bCs/>
                <w:color w:val="000000"/>
                <w:sz w:val="18"/>
                <w:szCs w:val="18"/>
                <w:lang w:val="en-US" w:eastAsia="zh-CN"/>
              </w:rPr>
              <w:t>建筑综合节能率</w:t>
            </w:r>
          </w:p>
        </w:tc>
        <w:tc>
          <w:tcPr>
            <w:tcW w:w="1459" w:type="dxa"/>
            <w:tcBorders>
              <w:top w:val="single" w:color="auto" w:sz="4" w:space="0"/>
              <w:left w:val="single" w:color="auto" w:sz="4" w:space="0"/>
              <w:bottom w:val="single" w:color="auto" w:sz="4" w:space="0"/>
              <w:right w:val="single" w:color="auto" w:sz="4" w:space="0"/>
            </w:tcBorders>
            <w:vAlign w:val="center"/>
          </w:tcPr>
          <w:p w14:paraId="213A7C4A">
            <w:pPr>
              <w:overflowPunct w:val="0"/>
              <w:spacing w:line="360" w:lineRule="auto"/>
              <w:jc w:val="center"/>
              <w:rPr>
                <w:rFonts w:ascii="宋体" w:hAnsi="宋体" w:cs="宋体"/>
                <w:bCs/>
                <w:color w:val="000000"/>
                <w:sz w:val="18"/>
                <w:szCs w:val="18"/>
              </w:rPr>
            </w:pPr>
            <w:r>
              <w:rPr>
                <w:rFonts w:hint="eastAsia" w:ascii="宋体" w:hAnsi="宋体" w:cs="宋体"/>
                <w:bCs/>
                <w:color w:val="000000"/>
                <w:sz w:val="18"/>
                <w:szCs w:val="18"/>
              </w:rPr>
              <w:t>%</w:t>
            </w:r>
          </w:p>
        </w:tc>
        <w:tc>
          <w:tcPr>
            <w:tcW w:w="1706" w:type="dxa"/>
            <w:tcBorders>
              <w:top w:val="single" w:color="auto" w:sz="4" w:space="0"/>
              <w:left w:val="single" w:color="auto" w:sz="4" w:space="0"/>
              <w:bottom w:val="single" w:color="auto" w:sz="4" w:space="0"/>
              <w:right w:val="single" w:color="auto" w:sz="8" w:space="0"/>
            </w:tcBorders>
            <w:vAlign w:val="center"/>
          </w:tcPr>
          <w:p w14:paraId="5200AF9B">
            <w:pPr>
              <w:overflowPunct w:val="0"/>
              <w:spacing w:line="360" w:lineRule="auto"/>
              <w:jc w:val="center"/>
              <w:rPr>
                <w:rFonts w:hint="default" w:ascii="宋体" w:hAnsi="宋体" w:eastAsia="宋体" w:cs="宋体"/>
                <w:bCs/>
                <w:color w:val="000000"/>
                <w:sz w:val="18"/>
                <w:szCs w:val="18"/>
                <w:lang w:val="en-US" w:eastAsia="zh-CN"/>
              </w:rPr>
            </w:pPr>
            <w:r>
              <w:rPr>
                <w:rFonts w:ascii="宋体" w:hAnsi="宋体" w:cs="宋体"/>
                <w:bCs/>
                <w:color w:val="000000"/>
                <w:sz w:val="18"/>
                <w:szCs w:val="18"/>
              </w:rPr>
              <w:t>≥</w:t>
            </w:r>
            <w:r>
              <w:rPr>
                <w:rFonts w:hint="eastAsia" w:ascii="宋体" w:hAnsi="宋体" w:cs="宋体"/>
                <w:bCs/>
                <w:color w:val="000000"/>
                <w:sz w:val="18"/>
                <w:szCs w:val="18"/>
                <w:lang w:val="en-US" w:eastAsia="zh-CN"/>
              </w:rPr>
              <w:t>37.5</w:t>
            </w:r>
          </w:p>
        </w:tc>
      </w:tr>
      <w:tr w14:paraId="59D9805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9341" w:type="dxa"/>
            <w:gridSpan w:val="4"/>
            <w:tcBorders>
              <w:top w:val="single" w:color="auto" w:sz="4" w:space="0"/>
              <w:bottom w:val="single" w:color="auto" w:sz="8" w:space="0"/>
              <w:right w:val="single" w:color="auto" w:sz="8" w:space="0"/>
            </w:tcBorders>
            <w:vAlign w:val="center"/>
          </w:tcPr>
          <w:p w14:paraId="7A7F8B0A">
            <w:pPr>
              <w:overflowPunct w:val="0"/>
              <w:jc w:val="left"/>
              <w:rPr>
                <w:rFonts w:ascii="宋体" w:hAnsi="宋体" w:cs="宋体"/>
                <w:bCs/>
                <w:color w:val="000000"/>
                <w:sz w:val="18"/>
                <w:szCs w:val="18"/>
              </w:rPr>
            </w:pPr>
            <w:r>
              <w:rPr>
                <w:rFonts w:hint="eastAsia" w:ascii="宋体" w:hAnsi="宋体" w:cs="宋体"/>
                <w:bCs/>
                <w:color w:val="000000"/>
                <w:sz w:val="18"/>
                <w:szCs w:val="18"/>
              </w:rPr>
              <w:t>注1：能耗降低幅度比较标准为国家标准</w:t>
            </w:r>
            <w:r>
              <w:rPr>
                <w:rFonts w:ascii="宋体" w:hAnsi="宋体" w:cs="宋体"/>
                <w:bCs/>
                <w:color w:val="000000"/>
                <w:sz w:val="18"/>
                <w:szCs w:val="18"/>
              </w:rPr>
              <w:t>《</w:t>
            </w:r>
            <w:r>
              <w:rPr>
                <w:rFonts w:hint="eastAsia" w:ascii="宋体" w:hAnsi="宋体" w:cs="宋体"/>
                <w:bCs/>
                <w:color w:val="000000"/>
                <w:sz w:val="18"/>
                <w:szCs w:val="18"/>
                <w:lang w:val="en-US" w:eastAsia="zh-CN"/>
              </w:rPr>
              <w:t>建筑节能与可再生能源利用通用规范</w:t>
            </w:r>
            <w:r>
              <w:rPr>
                <w:rFonts w:ascii="宋体" w:hAnsi="宋体" w:cs="宋体"/>
                <w:bCs/>
                <w:color w:val="000000"/>
                <w:sz w:val="18"/>
                <w:szCs w:val="18"/>
              </w:rPr>
              <w:t>》</w:t>
            </w:r>
            <w:r>
              <w:rPr>
                <w:rFonts w:hint="eastAsia" w:ascii="宋体" w:hAnsi="宋体" w:cs="宋体"/>
                <w:bCs/>
                <w:color w:val="000000"/>
                <w:sz w:val="18"/>
                <w:szCs w:val="18"/>
              </w:rPr>
              <w:t>GB</w:t>
            </w:r>
            <w:r>
              <w:rPr>
                <w:rFonts w:hint="eastAsia" w:ascii="宋体" w:hAnsi="宋体" w:cs="宋体"/>
                <w:bCs/>
                <w:color w:val="000000"/>
                <w:sz w:val="18"/>
                <w:szCs w:val="18"/>
                <w:lang w:val="en-US" w:eastAsia="zh-CN"/>
              </w:rPr>
              <w:t>55015-2021</w:t>
            </w:r>
            <w:r>
              <w:rPr>
                <w:rFonts w:hint="eastAsia" w:ascii="宋体" w:hAnsi="宋体" w:cs="宋体"/>
                <w:bCs/>
                <w:color w:val="000000"/>
                <w:sz w:val="18"/>
                <w:szCs w:val="18"/>
              </w:rPr>
              <w:t>。</w:t>
            </w:r>
          </w:p>
        </w:tc>
      </w:tr>
    </w:tbl>
    <w:p w14:paraId="71D9342D">
      <w:pPr>
        <w:pStyle w:val="258"/>
        <w:ind w:firstLine="0" w:firstLineChars="0"/>
        <w:rPr>
          <w:rFonts w:hint="eastAsia" w:ascii="Times New Roman" w:hAnsi="Times New Roman" w:cs="Times New Roman"/>
          <w:color w:val="0000FF"/>
        </w:rPr>
      </w:pPr>
      <w:r>
        <w:rPr>
          <w:rFonts w:hint="eastAsia" w:ascii="Times New Roman" w:hAnsi="Times New Roman" w:cs="Times New Roman"/>
          <w:color w:val="0000FF"/>
        </w:rPr>
        <w:t>【条文说明】能效指标是判别建筑是否达到超低能耗建筑标准的约束性指标。本标准提出的超低能耗公共建筑能效指标包括建筑本体节能率、建筑综合节能率</w:t>
      </w:r>
      <w:r>
        <w:rPr>
          <w:rFonts w:hint="eastAsia" w:ascii="Times New Roman" w:cs="Times New Roman"/>
          <w:color w:val="0000FF"/>
          <w:lang w:val="en-US" w:eastAsia="zh-CN"/>
        </w:rPr>
        <w:t>两</w:t>
      </w:r>
      <w:r>
        <w:rPr>
          <w:rFonts w:hint="eastAsia" w:ascii="Times New Roman" w:hAnsi="Times New Roman" w:cs="Times New Roman"/>
          <w:color w:val="0000FF"/>
        </w:rPr>
        <w:t>部分，需要同时满足要求。</w:t>
      </w:r>
    </w:p>
    <w:p w14:paraId="3EAF743B">
      <w:pPr>
        <w:pStyle w:val="258"/>
        <w:ind w:firstLine="0" w:firstLineChars="0"/>
        <w:rPr>
          <w:rFonts w:hint="eastAsia" w:ascii="Times New Roman" w:hAnsi="Times New Roman" w:cs="Times New Roman"/>
          <w:color w:val="0000FF"/>
        </w:rPr>
      </w:pPr>
      <w:r>
        <w:rPr>
          <w:rFonts w:hint="eastAsia" w:ascii="Times New Roman" w:hAnsi="Times New Roman" w:cs="Times New Roman"/>
          <w:color w:val="0000FF"/>
        </w:rPr>
        <w:t>建筑能效指标确定的原则和方法如下：</w:t>
      </w:r>
    </w:p>
    <w:p w14:paraId="68DE68C5">
      <w:pPr>
        <w:pStyle w:val="258"/>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Times New Roman" w:hAnsi="Times New Roman" w:cs="Times New Roman"/>
          <w:color w:val="0000FF"/>
        </w:rPr>
      </w:pPr>
      <w:r>
        <w:rPr>
          <w:rFonts w:hint="eastAsia" w:ascii="Times New Roman" w:hAnsi="Times New Roman" w:cs="Times New Roman"/>
          <w:color w:val="0000FF"/>
        </w:rPr>
        <w:t>1.提升建筑能效。超低能耗建筑的节能水平，应较现有建筑节能水平大幅度提高。公共建筑类型多样，不同功能类型的用能特点和强度差异较大，现阶段针对不同功能类型公共建筑提出绝对值形式能耗指标的条件尚不充分，因此本标准采用相对值的方式对公共建筑的节能水平进行约束，在规模化推广超低能耗公共建筑时保证标准实施的可行性。</w:t>
      </w:r>
    </w:p>
    <w:p w14:paraId="70524C90">
      <w:pPr>
        <w:pStyle w:val="258"/>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Times New Roman" w:hAnsi="Times New Roman" w:cs="Times New Roman"/>
          <w:color w:val="0000FF"/>
        </w:rPr>
      </w:pPr>
      <w:r>
        <w:rPr>
          <w:rFonts w:hint="eastAsia" w:ascii="Times New Roman" w:hAnsi="Times New Roman" w:cs="Times New Roman"/>
          <w:color w:val="0000FF"/>
        </w:rPr>
        <w:t>2.引导建筑本体节能。建筑本体节能率是不包括可再生能源时的建筑节能水平，反映了被动式设计措施和主动式设备能效提升的作用效果。从实现超低能耗建筑的技术路线来看，建筑本体有条件也有责任实现一定的节能目标，不应该将降低能耗的责任全部由可再生能源承担。</w:t>
      </w:r>
    </w:p>
    <w:p w14:paraId="483D2950">
      <w:pPr>
        <w:pStyle w:val="258"/>
        <w:numPr>
          <w:ilvl w:val="0"/>
          <w:numId w:val="36"/>
        </w:numPr>
        <w:tabs>
          <w:tab w:val="center" w:pos="4201"/>
          <w:tab w:val="right" w:leader="dot" w:pos="9298"/>
        </w:tabs>
        <w:ind w:firstLineChars="0"/>
        <w:outlineLvl w:val="2"/>
        <w:rPr>
          <w:szCs w:val="22"/>
        </w:rPr>
      </w:pPr>
      <w:r>
        <w:rPr>
          <w:rFonts w:hint="eastAsia"/>
          <w:szCs w:val="22"/>
        </w:rPr>
        <w:t>供暖年耗热量、供冷年耗冷量、</w:t>
      </w:r>
      <w:r>
        <w:rPr>
          <w:rFonts w:hint="eastAsia"/>
          <w:szCs w:val="22"/>
          <w:lang w:val="en-US" w:eastAsia="zh-CN"/>
        </w:rPr>
        <w:t>建筑能耗综合值、建筑本体节能率、建筑综合节能率</w:t>
      </w:r>
      <w:r>
        <w:rPr>
          <w:rFonts w:hint="eastAsia"/>
          <w:szCs w:val="22"/>
        </w:rPr>
        <w:t>的计算应符合本标准附录</w:t>
      </w:r>
      <w:r>
        <w:rPr>
          <w:rFonts w:hint="default" w:ascii="Times New Roman" w:hAnsi="Times New Roman" w:cs="Times New Roman"/>
          <w:szCs w:val="22"/>
        </w:rPr>
        <w:t>A</w:t>
      </w:r>
      <w:r>
        <w:rPr>
          <w:rFonts w:hint="eastAsia"/>
          <w:szCs w:val="22"/>
        </w:rPr>
        <w:t>中的规定。</w:t>
      </w:r>
    </w:p>
    <w:p w14:paraId="5AFA4AE7">
      <w:pPr>
        <w:pStyle w:val="258"/>
        <w:numPr>
          <w:ilvl w:val="0"/>
          <w:numId w:val="36"/>
        </w:numPr>
        <w:tabs>
          <w:tab w:val="center" w:pos="4201"/>
          <w:tab w:val="right" w:leader="dot" w:pos="9298"/>
        </w:tabs>
        <w:ind w:firstLineChars="0"/>
        <w:outlineLvl w:val="2"/>
        <w:rPr>
          <w:rFonts w:hint="default" w:ascii="Times New Roman" w:hAnsi="Times New Roman" w:cs="Times New Roman"/>
          <w:szCs w:val="22"/>
        </w:rPr>
      </w:pPr>
      <w:r>
        <w:rPr>
          <w:rFonts w:hint="default" w:ascii="Times New Roman" w:hAnsi="Times New Roman" w:cs="Times New Roman"/>
          <w:szCs w:val="22"/>
        </w:rPr>
        <w:t>建筑气密性的测试与计算方法应符合本导则附录B的规定。</w:t>
      </w:r>
    </w:p>
    <w:p w14:paraId="4FA81BF7">
      <w:pPr>
        <w:pStyle w:val="259"/>
        <w:outlineLvl w:val="0"/>
        <w:rPr>
          <w:szCs w:val="22"/>
        </w:rPr>
      </w:pPr>
      <w:bookmarkStart w:id="24" w:name="_Toc32698"/>
      <w:bookmarkStart w:id="25" w:name="_Toc2950918"/>
      <w:r>
        <w:rPr>
          <w:szCs w:val="22"/>
        </w:rPr>
        <w:t>设计</w:t>
      </w:r>
      <w:r>
        <w:rPr>
          <w:rFonts w:hint="eastAsia"/>
          <w:szCs w:val="22"/>
        </w:rPr>
        <w:t>措施</w:t>
      </w:r>
      <w:bookmarkEnd w:id="24"/>
      <w:bookmarkEnd w:id="25"/>
    </w:p>
    <w:p w14:paraId="6205FE14">
      <w:pPr>
        <w:pStyle w:val="258"/>
        <w:numPr>
          <w:ilvl w:val="1"/>
          <w:numId w:val="37"/>
        </w:numPr>
        <w:spacing w:before="156" w:beforeLines="50" w:after="156" w:afterLines="50"/>
        <w:ind w:firstLineChars="0"/>
        <w:outlineLvl w:val="1"/>
        <w:rPr>
          <w:rFonts w:ascii="黑体" w:hAnsi="黑体" w:eastAsia="黑体"/>
        </w:rPr>
      </w:pPr>
      <w:bookmarkStart w:id="26" w:name="_Toc2950919"/>
      <w:bookmarkStart w:id="27" w:name="_Toc29811"/>
      <w:r>
        <w:rPr>
          <w:rFonts w:ascii="黑体" w:hAnsi="黑体" w:eastAsia="黑体"/>
        </w:rPr>
        <w:t>气候响应设计</w:t>
      </w:r>
      <w:bookmarkEnd w:id="26"/>
      <w:bookmarkEnd w:id="27"/>
    </w:p>
    <w:p w14:paraId="024D5BD5">
      <w:pPr>
        <w:pStyle w:val="277"/>
        <w:wordWrap/>
        <w:spacing w:before="0" w:beforeLines="0" w:after="0" w:afterLines="0"/>
        <w:ind w:left="0"/>
        <w:rPr>
          <w:rFonts w:hint="eastAsia" w:hAnsi="黑体" w:eastAsia="宋体" w:cs="Times New Roman"/>
          <w:szCs w:val="22"/>
        </w:rPr>
      </w:pPr>
      <w:r>
        <w:rPr>
          <w:rFonts w:hint="eastAsia" w:hAnsi="黑体" w:eastAsia="宋体" w:cs="Times New Roman"/>
          <w:szCs w:val="22"/>
        </w:rPr>
        <w:t>建筑场地规划应有利于营造适宜的微气候，为建筑节能提供良好的外部环境，宜采取如下设计措施：</w:t>
      </w:r>
    </w:p>
    <w:p w14:paraId="1A8D44A4">
      <w:pPr>
        <w:overflowPunct w:val="0"/>
        <w:ind w:firstLine="420"/>
        <w:rPr>
          <w:rFonts w:ascii="宋体" w:hAnsi="宋体" w:cs="宋体"/>
          <w:szCs w:val="21"/>
        </w:rPr>
      </w:pPr>
      <w:r>
        <w:rPr>
          <w:rFonts w:ascii="黑体" w:hAnsi="黑体" w:cs="宋体"/>
          <w:szCs w:val="21"/>
        </w:rPr>
        <w:t>1</w:t>
      </w:r>
      <w:r>
        <w:rPr>
          <w:rFonts w:hint="eastAsia" w:ascii="宋体" w:hAnsi="宋体" w:cs="宋体"/>
          <w:szCs w:val="21"/>
        </w:rPr>
        <w:t>　建筑群朝向布局宜为南偏东</w:t>
      </w:r>
      <w:r>
        <w:rPr>
          <w:rFonts w:hint="eastAsia" w:ascii="Times New Roman" w:hAnsi="Times New Roman" w:cs="Times New Roman"/>
          <w:szCs w:val="21"/>
        </w:rPr>
        <w:t>15</w:t>
      </w:r>
      <w:r>
        <w:rPr>
          <w:rFonts w:hint="eastAsia" w:ascii="宋体" w:hAnsi="宋体" w:cs="宋体"/>
          <w:szCs w:val="21"/>
        </w:rPr>
        <w:t>°至南偏西</w:t>
      </w:r>
      <w:r>
        <w:rPr>
          <w:rFonts w:hint="eastAsia" w:ascii="Times New Roman" w:hAnsi="Times New Roman" w:cs="Times New Roman"/>
          <w:szCs w:val="21"/>
        </w:rPr>
        <w:t>15</w:t>
      </w:r>
      <w:r>
        <w:rPr>
          <w:rFonts w:hint="eastAsia" w:ascii="宋体" w:hAnsi="宋体" w:cs="宋体"/>
          <w:szCs w:val="21"/>
        </w:rPr>
        <w:t>°之间，有利于建筑日照、采光与自然通风。</w:t>
      </w:r>
    </w:p>
    <w:p w14:paraId="21CACFDB">
      <w:pPr>
        <w:overflowPunct w:val="0"/>
        <w:ind w:firstLine="420"/>
        <w:rPr>
          <w:rFonts w:ascii="宋体" w:hAnsi="宋体" w:cs="宋体"/>
          <w:szCs w:val="21"/>
        </w:rPr>
      </w:pPr>
      <w:r>
        <w:rPr>
          <w:rFonts w:ascii="黑体" w:hAnsi="黑体" w:cs="宋体"/>
          <w:szCs w:val="21"/>
        </w:rPr>
        <w:t>2</w:t>
      </w:r>
      <w:r>
        <w:rPr>
          <w:rFonts w:hint="eastAsia" w:ascii="宋体" w:hAnsi="宋体" w:cs="宋体"/>
          <w:szCs w:val="21"/>
        </w:rPr>
        <w:t>　避免选址于低洼地势，尽量使建筑位于地势南侧，便于获得充足的日照。对幼儿园、中小学校、医院以及养老设施等建筑相应满足日照标准要求。</w:t>
      </w:r>
    </w:p>
    <w:p w14:paraId="666B5DA9">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建筑群的规划设计与建筑节能关系密切。超低能耗建筑设计应在规划阶段考虑如何利用自然能源，冬季增加得热和减少热损失，夏季减少得热并加强通风。在具体策略上，冬季需要控制建筑遮挡以加强日照得热，并通过建筑群空间布局分析，营造适宜的风环境，降低冬季冷风渗透；夏季增强自然通风，减少热岛效应。</w:t>
      </w:r>
    </w:p>
    <w:p w14:paraId="12FF2864">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根据我</w:t>
      </w:r>
      <w:r>
        <w:rPr>
          <w:rFonts w:hint="eastAsia" w:ascii="Times New Roman" w:hAnsi="Times New Roman" w:cs="Times New Roman"/>
          <w:color w:val="0000FF"/>
          <w:szCs w:val="21"/>
          <w:lang w:val="en-US" w:eastAsia="zh-CN"/>
        </w:rPr>
        <w:t>市</w:t>
      </w:r>
      <w:r>
        <w:rPr>
          <w:rFonts w:hint="eastAsia" w:ascii="Times New Roman" w:hAnsi="Times New Roman" w:cs="Times New Roman"/>
          <w:color w:val="0000FF"/>
          <w:szCs w:val="21"/>
        </w:rPr>
        <w:t>所处地理位置和自然条件，建筑朝向在南偏东30°至南偏西30°之间时，夏季太阳辐射较少，通风条件较好，可降低空调能耗，冬季得热较多，日照良好，可降低冬季供暖能耗，最佳朝向范围为南偏东15°至南偏西15°之间。</w:t>
      </w:r>
    </w:p>
    <w:p w14:paraId="2D260947">
      <w:pPr>
        <w:pStyle w:val="277"/>
        <w:wordWrap/>
        <w:spacing w:before="0" w:beforeLines="0" w:after="0" w:afterLines="0"/>
        <w:ind w:left="0"/>
        <w:rPr>
          <w:rFonts w:hint="eastAsia" w:hAnsi="黑体" w:eastAsia="宋体" w:cs="Times New Roman"/>
          <w:szCs w:val="22"/>
        </w:rPr>
      </w:pPr>
      <w:r>
        <w:rPr>
          <w:rFonts w:hint="eastAsia" w:hAnsi="黑体" w:eastAsia="宋体" w:cs="Times New Roman"/>
          <w:szCs w:val="22"/>
        </w:rPr>
        <w:t>地面宜采用透水铺装，优先选用太阳辐射反射系数≥0.4的浅色铺装材料，减少场地铺装吸收的太阳辐射热量，降低热岛效应。</w:t>
      </w:r>
    </w:p>
    <w:p w14:paraId="042B7B88">
      <w:pPr>
        <w:pStyle w:val="258"/>
        <w:widowControl w:val="0"/>
        <w:tabs>
          <w:tab w:val="left" w:pos="765"/>
        </w:tabs>
        <w:overflowPunct w:val="0"/>
        <w:autoSpaceDE/>
        <w:autoSpaceDN/>
        <w:ind w:firstLine="0" w:firstLineChars="0"/>
        <w:rPr>
          <w:rFonts w:hAnsi="宋体"/>
        </w:rPr>
      </w:pPr>
      <w:r>
        <w:rPr>
          <w:rFonts w:hint="eastAsia" w:ascii="Times New Roman" w:hAnsi="Times New Roman" w:cs="Times New Roman"/>
          <w:color w:val="0000FF"/>
        </w:rPr>
        <w:t>【条文说明】一般材料往往仅标注太阳辐射吸收系数，太阳辐射反射系数+太阳辐射吸收系数=1，因此材料的太阳辐射吸收系数应≤0.6，根据《民用建筑热工设计规范》GB 50176-2016附录B表B.5可选择对应的铺装面层颜色。</w:t>
      </w:r>
    </w:p>
    <w:p w14:paraId="058D111D">
      <w:pPr>
        <w:pStyle w:val="277"/>
        <w:wordWrap/>
        <w:spacing w:before="0" w:beforeLines="0" w:after="0" w:afterLines="0"/>
        <w:ind w:left="0"/>
        <w:rPr>
          <w:rFonts w:hint="eastAsia" w:hAnsi="黑体" w:eastAsia="宋体" w:cs="Times New Roman"/>
          <w:szCs w:val="22"/>
        </w:rPr>
      </w:pPr>
      <w:r>
        <w:rPr>
          <w:rFonts w:hint="eastAsia" w:hAnsi="黑体" w:eastAsia="宋体" w:cs="Times New Roman"/>
          <w:szCs w:val="22"/>
        </w:rPr>
        <w:t>配建的绿地应符合当地城市规划部门的要求，宜选择适应当地气候和土壤条件的植物，合理配置乔木、灌木、草皮和花卉的比例，场地绿化宜充分考虑垂直绿化、屋顶绿化，提升围护结构的隔热性能，改善室外热环境。</w:t>
      </w:r>
    </w:p>
    <w:p w14:paraId="1448C3CD">
      <w:pPr>
        <w:pStyle w:val="277"/>
        <w:wordWrap/>
        <w:spacing w:before="0" w:beforeLines="0" w:after="0" w:afterLines="0"/>
        <w:ind w:left="0"/>
        <w:rPr>
          <w:rFonts w:hAnsi="黑体" w:eastAsia="宋体"/>
        </w:rPr>
      </w:pPr>
      <w:r>
        <w:rPr>
          <w:rFonts w:hint="eastAsia" w:hAnsi="黑体" w:eastAsia="宋体"/>
          <w:lang w:val="en-US" w:eastAsia="zh-CN"/>
        </w:rPr>
        <w:t>具有自然通风需求的建筑功能空间，</w:t>
      </w:r>
      <w:r>
        <w:rPr>
          <w:rFonts w:hint="eastAsia" w:hAnsi="黑体" w:eastAsia="宋体"/>
        </w:rPr>
        <w:t>应通过建筑与构造设计</w:t>
      </w:r>
      <w:r>
        <w:rPr>
          <w:rFonts w:hint="eastAsia" w:hAnsi="黑体" w:eastAsia="宋体"/>
          <w:lang w:eastAsia="zh-CN"/>
        </w:rPr>
        <w:t>，</w:t>
      </w:r>
      <w:r>
        <w:rPr>
          <w:rFonts w:hint="eastAsia" w:hAnsi="黑体" w:eastAsia="宋体"/>
          <w:lang w:val="en-US" w:eastAsia="zh-CN"/>
        </w:rPr>
        <w:t>组织夏季和过渡季自然通风</w:t>
      </w:r>
      <w:r>
        <w:rPr>
          <w:rFonts w:hint="eastAsia" w:hAnsi="黑体" w:eastAsia="宋体"/>
        </w:rPr>
        <w:t>，宜采取如下设计措施：</w:t>
      </w:r>
    </w:p>
    <w:p w14:paraId="2EB02106">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rPr>
        <w:t>1.</w:t>
      </w:r>
      <w:r>
        <w:rPr>
          <w:rFonts w:hAnsi="黑体" w:eastAsia="宋体"/>
        </w:rPr>
        <w:t>合理</w:t>
      </w:r>
      <w:r>
        <w:rPr>
          <w:rFonts w:hint="eastAsia" w:hAnsi="黑体" w:eastAsia="宋体"/>
          <w:lang w:val="en-US" w:eastAsia="zh-CN"/>
        </w:rPr>
        <w:t>布置建筑平面及通风口，形成通风路径</w:t>
      </w:r>
      <w:r>
        <w:rPr>
          <w:rFonts w:hint="eastAsia" w:hAnsi="黑体" w:eastAsia="宋体"/>
        </w:rPr>
        <w:t>。</w:t>
      </w:r>
    </w:p>
    <w:p w14:paraId="55F570C0">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lang w:val="en-US" w:eastAsia="zh-CN"/>
        </w:rPr>
        <w:t>2.设有中庭的建筑，宜在中庭顶部设置通风天窗、通风塔等构造</w:t>
      </w:r>
      <w:r>
        <w:rPr>
          <w:rFonts w:hint="eastAsia" w:hAnsi="黑体" w:eastAsia="宋体"/>
        </w:rPr>
        <w:t>。</w:t>
      </w:r>
    </w:p>
    <w:p w14:paraId="666479F8">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lang w:val="en-US" w:eastAsia="zh-CN"/>
        </w:rPr>
        <w:t>3</w:t>
      </w:r>
      <w:r>
        <w:rPr>
          <w:rFonts w:hint="eastAsia" w:hAnsi="黑体" w:eastAsia="宋体"/>
        </w:rPr>
        <w:t>.</w:t>
      </w:r>
      <w:r>
        <w:rPr>
          <w:rFonts w:hint="eastAsia" w:hAnsi="黑体" w:eastAsia="宋体"/>
          <w:lang w:val="en-US" w:eastAsia="zh-CN"/>
        </w:rPr>
        <w:t>宜采用挑檐、导风墙、捕风窗、拔风井、通风道、自然通风器、太阳能拔风道、无动力风帽等诱导风流的措施</w:t>
      </w:r>
      <w:r>
        <w:rPr>
          <w:rFonts w:hint="eastAsia" w:hAnsi="黑体" w:eastAsia="宋体"/>
        </w:rPr>
        <w:t>。</w:t>
      </w:r>
    </w:p>
    <w:p w14:paraId="3CCFACE0">
      <w:pPr>
        <w:pStyle w:val="362"/>
        <w:tabs>
          <w:tab w:val="left" w:pos="420"/>
        </w:tabs>
        <w:overflowPunct w:val="0"/>
        <w:ind w:firstLine="0" w:firstLineChars="0"/>
        <w:rPr>
          <w:rFonts w:ascii="宋体" w:hAnsi="宋体" w:cs="宋体"/>
          <w:szCs w:val="21"/>
        </w:rPr>
      </w:pPr>
      <w:r>
        <w:rPr>
          <w:rFonts w:hint="eastAsia" w:ascii="Times New Roman" w:hAnsi="Times New Roman" w:cs="Times New Roman"/>
          <w:color w:val="0000FF"/>
          <w:szCs w:val="21"/>
        </w:rPr>
        <w:t>【条文说明】自然通风可以提高使用者的舒适感，并有利于健康。当室外气象条件良好时，加强自然通风还有助于缩短空调设备的运行时间，降低空调能耗。能否获得足够的自然通风，与通风开口面积的大小和房间体积密切相关。公共建筑宜采用模拟计算的方式进行自然通风效果评价，对过渡季典型工况下主要功能房间平均自然通风换气次数，可采用区域网终模拟法或计算流体力学（CFD）的计算方法，具体计算过程应符合行业标准《民用建筑绿色性能计算标准》JGJ/T 449。</w:t>
      </w:r>
    </w:p>
    <w:p w14:paraId="2046DB4B">
      <w:pPr>
        <w:pStyle w:val="277"/>
        <w:wordWrap/>
        <w:spacing w:before="0" w:beforeLines="0" w:after="0" w:afterLines="0"/>
        <w:ind w:left="0"/>
        <w:rPr>
          <w:rFonts w:hint="eastAsia" w:hAnsi="黑体" w:eastAsia="宋体" w:cs="Times New Roman"/>
          <w:szCs w:val="22"/>
        </w:rPr>
      </w:pPr>
      <w:r>
        <w:rPr>
          <w:rFonts w:hint="eastAsia" w:hAnsi="黑体" w:eastAsia="宋体" w:cs="Times New Roman"/>
          <w:szCs w:val="22"/>
        </w:rPr>
        <w:t>宜采用计算机模拟或实测技术方法进行自然通风创新设计，结合建筑表面风压分析，充分利用建筑外立面表面风压条件合理设置可开启窗扇，夏季和过渡季主导风向下可开启外窗内外表面风压差宜大于0.5Pa。</w:t>
      </w:r>
    </w:p>
    <w:p w14:paraId="5A231032">
      <w:pPr>
        <w:pStyle w:val="277"/>
        <w:wordWrap/>
        <w:spacing w:before="0" w:beforeLines="0" w:after="0" w:afterLines="0"/>
        <w:ind w:left="0"/>
        <w:rPr>
          <w:rFonts w:hAnsi="黑体" w:eastAsia="宋体"/>
        </w:rPr>
      </w:pPr>
      <w:r>
        <w:rPr>
          <w:rFonts w:hint="eastAsia" w:hAnsi="黑体" w:eastAsia="宋体"/>
          <w:lang w:val="en-US" w:eastAsia="zh-CN"/>
        </w:rPr>
        <w:t>具有天然采光需求的建筑功能空间，</w:t>
      </w:r>
      <w:r>
        <w:rPr>
          <w:rFonts w:hint="eastAsia" w:hAnsi="黑体" w:eastAsia="宋体"/>
        </w:rPr>
        <w:t>应通过建筑设计营造良好的自然采光效果，宜采取如下设计措施：</w:t>
      </w:r>
    </w:p>
    <w:p w14:paraId="5C8C61A0">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rPr>
        <w:t>1</w:t>
      </w:r>
      <w:r>
        <w:rPr>
          <w:rFonts w:hAnsi="黑体" w:eastAsia="宋体"/>
        </w:rPr>
        <w:t>.在兼顾保温隔热基础上保证立面采光窗的设置面积，</w:t>
      </w:r>
      <w:r>
        <w:rPr>
          <w:rFonts w:hint="eastAsia" w:hAnsi="黑体" w:eastAsia="宋体"/>
        </w:rPr>
        <w:t>公共建筑单面采光时主采光面的窗墙比不宜小于0.35，双面采光时主采光面的窗墙比不宜小于0.25。</w:t>
      </w:r>
    </w:p>
    <w:p w14:paraId="69E3BB02">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lang w:val="en-US" w:eastAsia="zh-CN"/>
        </w:rPr>
        <w:t>2.侧面采光时宜通过加设反光板、棱镜玻璃等采光设施改善进深较大区域的采光</w:t>
      </w:r>
      <w:r>
        <w:rPr>
          <w:rFonts w:hint="eastAsia" w:hAnsi="黑体" w:eastAsia="宋体"/>
        </w:rPr>
        <w:t>。</w:t>
      </w:r>
    </w:p>
    <w:p w14:paraId="67C07114">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3</w:t>
      </w:r>
      <w:r>
        <w:rPr>
          <w:rFonts w:hAnsi="黑体" w:eastAsia="宋体"/>
        </w:rPr>
        <w:t>.</w:t>
      </w:r>
      <w:r>
        <w:rPr>
          <w:rFonts w:hint="eastAsia" w:hAnsi="黑体" w:eastAsia="宋体"/>
          <w:lang w:val="en-US" w:eastAsia="zh-CN"/>
        </w:rPr>
        <w:t>大跨度或</w:t>
      </w:r>
      <w:r>
        <w:rPr>
          <w:rFonts w:hAnsi="黑体" w:eastAsia="宋体"/>
        </w:rPr>
        <w:t>大进深</w:t>
      </w:r>
      <w:r>
        <w:rPr>
          <w:rFonts w:hint="eastAsia" w:hAnsi="黑体" w:eastAsia="宋体"/>
          <w:lang w:val="en-US" w:eastAsia="zh-CN"/>
        </w:rPr>
        <w:t>建筑宜采用采光中庭、采光竖井或导光管系统。</w:t>
      </w:r>
    </w:p>
    <w:p w14:paraId="3E5415E5">
      <w:pPr>
        <w:pStyle w:val="277"/>
        <w:numPr>
          <w:ilvl w:val="0"/>
          <w:numId w:val="0"/>
        </w:numPr>
        <w:wordWrap/>
        <w:spacing w:before="0" w:beforeLines="0" w:after="0" w:afterLines="0"/>
        <w:ind w:firstLine="420" w:firstLineChars="200"/>
        <w:outlineLvl w:val="9"/>
        <w:rPr>
          <w:rFonts w:hAnsi="黑体" w:eastAsia="宋体"/>
        </w:rPr>
      </w:pPr>
      <w:r>
        <w:rPr>
          <w:rFonts w:hint="eastAsia" w:hAnsi="黑体" w:eastAsia="宋体"/>
          <w:lang w:val="en-US" w:eastAsia="zh-CN"/>
        </w:rPr>
        <w:t>4.</w:t>
      </w:r>
      <w:r>
        <w:rPr>
          <w:rFonts w:hAnsi="黑体" w:eastAsia="宋体"/>
        </w:rPr>
        <w:t>地下空间可通过设置采光天窗、下沉庭院、导光管等措施改善自然采光。</w:t>
      </w:r>
    </w:p>
    <w:p w14:paraId="346AD077">
      <w:pPr>
        <w:pStyle w:val="277"/>
        <w:numPr>
          <w:ilvl w:val="0"/>
          <w:numId w:val="0"/>
        </w:numPr>
        <w:wordWrap/>
        <w:spacing w:before="0" w:beforeLines="0" w:after="0" w:afterLines="0"/>
        <w:ind w:firstLine="420" w:firstLineChars="200"/>
        <w:outlineLvl w:val="9"/>
        <w:rPr>
          <w:rFonts w:hint="default" w:hAnsi="黑体" w:eastAsia="宋体"/>
          <w:lang w:val="en-US" w:eastAsia="zh-CN"/>
        </w:rPr>
      </w:pPr>
      <w:r>
        <w:rPr>
          <w:rFonts w:hint="eastAsia" w:hAnsi="黑体" w:eastAsia="宋体"/>
          <w:lang w:val="en-US" w:eastAsia="zh-CN"/>
        </w:rPr>
        <w:t>5.应结合自然采光模拟计算优化建筑进深、窗墙比及遮阳设计，实现自然采光与保温隔热的平衡。</w:t>
      </w:r>
    </w:p>
    <w:p w14:paraId="6D997D5A">
      <w:pPr>
        <w:tabs>
          <w:tab w:val="left" w:pos="420"/>
        </w:tabs>
        <w:overflowPunct w:val="0"/>
      </w:pPr>
      <w:r>
        <w:rPr>
          <w:rFonts w:hint="eastAsia" w:ascii="Times New Roman" w:hAnsi="Times New Roman" w:cs="Times New Roman"/>
          <w:color w:val="0000FF"/>
          <w:szCs w:val="21"/>
        </w:rPr>
        <w:t>【条文说明】充足的自然采光有利于使用者的生理和心理健康，同时也有利于降低人工照明能耗。各种光源的视觉试验结果表明，在同样照度的条件下，天然光的辨认能力优于人工光，从而有利于人们工作、生活、保护视力和提高劳动生产率。因此，在满足房间功能要求的情况下，优先利用天然采光是照明设计的首要原则。利用天然光的途径有多种，建筑一方面可以通过建筑平面的组织、窗户的设置、庭院的设置等方式合理直接引入天然光，另一方面可以通过采光设施（采光设施一般指导光管、反光板、反光镜、集光装置、棱镜窗等装置）间接引入天然光。当采用反光板、反光镜时应采取措施避免光污染。</w:t>
      </w:r>
    </w:p>
    <w:p w14:paraId="2A939D78">
      <w:pPr>
        <w:pStyle w:val="277"/>
        <w:wordWrap/>
        <w:spacing w:before="0" w:beforeLines="0" w:after="0" w:afterLines="0"/>
        <w:ind w:left="0"/>
        <w:rPr>
          <w:rFonts w:hint="eastAsia" w:hAnsi="黑体" w:eastAsia="宋体" w:cs="Times New Roman"/>
          <w:szCs w:val="22"/>
        </w:rPr>
      </w:pPr>
      <w:r>
        <w:rPr>
          <w:rFonts w:hint="eastAsia" w:hAnsi="黑体" w:eastAsia="宋体" w:cs="Times New Roman"/>
          <w:szCs w:val="22"/>
        </w:rPr>
        <w:t>建筑主要功能房间的东、南、西向外窗（包括透光幕墙）应设置</w:t>
      </w:r>
      <w:r>
        <w:rPr>
          <w:rFonts w:hint="eastAsia" w:hAnsi="黑体" w:eastAsia="宋体" w:cs="Times New Roman"/>
          <w:szCs w:val="22"/>
          <w:lang w:val="en-US" w:eastAsia="zh-CN"/>
        </w:rPr>
        <w:t>外</w:t>
      </w:r>
      <w:r>
        <w:rPr>
          <w:rFonts w:hint="eastAsia" w:hAnsi="黑体" w:eastAsia="宋体" w:cs="Times New Roman"/>
          <w:szCs w:val="22"/>
        </w:rPr>
        <w:t>遮阳措施，并符合下列规定：</w:t>
      </w:r>
    </w:p>
    <w:p w14:paraId="46C2F7E0">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1.采用转折、内凹、挑檐、外廊等形体或构造设计形成建筑自遮阳。</w:t>
      </w:r>
    </w:p>
    <w:p w14:paraId="0BC92D24">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2.可采用活动遮阳、固定遮阳、调光玻璃等措施进行遮阳，优先考虑活动遮阳。</w:t>
      </w:r>
    </w:p>
    <w:p w14:paraId="10827BEE">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3.采用外置活动遮阳时，应满足抗风压性能和材料耐久性的规定，与外墙保温系统相连处应采用构造措施防止形成结构性热桥。</w:t>
      </w:r>
    </w:p>
    <w:p w14:paraId="7B2156EE">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4.采用中置活动遮阳时，机械耐久性能应达到现行行业标准《内置遮阳中空玻璃制品》JG/T255中4级以上。</w:t>
      </w:r>
    </w:p>
    <w:p w14:paraId="1709F56B">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【条文说明】在</w:t>
      </w:r>
      <w:r>
        <w:rPr>
          <w:rFonts w:hint="eastAsia" w:ascii="Times New Roman" w:hAnsi="Times New Roman" w:cs="Times New Roman"/>
          <w:color w:val="0000FF"/>
          <w:szCs w:val="21"/>
          <w:lang w:val="en-US" w:eastAsia="zh-CN"/>
        </w:rPr>
        <w:t>武汉市</w:t>
      </w:r>
      <w:r>
        <w:rPr>
          <w:rFonts w:hint="eastAsia" w:ascii="Times New Roman" w:hAnsi="Times New Roman" w:cs="Times New Roman"/>
          <w:color w:val="0000FF"/>
          <w:szCs w:val="21"/>
        </w:rPr>
        <w:t>的气候下，遮阳是重要的节能措施。本条是对遮阳措施应用进行规范和引导。</w:t>
      </w:r>
    </w:p>
    <w:p w14:paraId="2D263FCC">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1.可实现外窗遮阳的方式有多种，包括活动遮阳、固定遮阳、调光玻璃等，从标准角度均可进行应用，从</w:t>
      </w:r>
      <w:r>
        <w:rPr>
          <w:rFonts w:hint="eastAsia" w:cs="Times New Roman"/>
          <w:color w:val="0000FF"/>
          <w:szCs w:val="21"/>
          <w:lang w:val="en-US" w:eastAsia="zh-CN"/>
        </w:rPr>
        <w:t>武汉市</w:t>
      </w:r>
      <w:r>
        <w:rPr>
          <w:rFonts w:hint="eastAsia" w:ascii="Times New Roman" w:hAnsi="Times New Roman" w:cs="Times New Roman"/>
          <w:color w:val="0000FF"/>
          <w:szCs w:val="21"/>
        </w:rPr>
        <w:t>夏热冬冷的气候特点考虑，建议优先采用活动遮阳装置。</w:t>
      </w:r>
    </w:p>
    <w:p w14:paraId="22734BC8">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2.采用外置活动遮阳时需要关注抗风压性能，应以保证安全性为前提；同时外置活动遮阳装置固定需要采用构造措施防止形成结构性热桥。</w:t>
      </w:r>
    </w:p>
    <w:p w14:paraId="2F3E9F0E">
      <w:pPr>
        <w:pStyle w:val="362"/>
        <w:tabs>
          <w:tab w:val="left" w:pos="420"/>
        </w:tabs>
        <w:overflowPunct w:val="0"/>
        <w:rPr>
          <w:rFonts w:hint="eastAsia" w:ascii="Times New Roman" w:hAnsi="Times New Roman" w:cs="Times New Roman"/>
          <w:color w:val="0000FF"/>
          <w:szCs w:val="21"/>
        </w:rPr>
      </w:pPr>
      <w:r>
        <w:rPr>
          <w:rFonts w:hint="eastAsia" w:ascii="Times New Roman" w:hAnsi="Times New Roman" w:cs="Times New Roman"/>
          <w:color w:val="0000FF"/>
          <w:szCs w:val="21"/>
        </w:rPr>
        <w:t>3.中置活动遮阳将遮阳片设置于中空玻璃内部，如出现损坏或故障不易维修，因此有必要提高其机械耐久性要求。现行行业标准《内置遮阳中空玻璃制品》JG/T255-2020 将其机械耐久性分为5级，本条要求达到4级以上。</w:t>
      </w:r>
    </w:p>
    <w:p w14:paraId="39963522">
      <w:pPr>
        <w:pStyle w:val="277"/>
        <w:wordWrap/>
        <w:spacing w:before="0" w:beforeLines="0" w:after="0" w:afterLines="0"/>
        <w:ind w:left="0"/>
        <w:rPr>
          <w:rFonts w:hint="default" w:hAnsi="黑体" w:eastAsia="宋体" w:cs="Times New Roman"/>
          <w:szCs w:val="22"/>
          <w:lang w:val="en-US" w:eastAsia="zh-CN"/>
        </w:rPr>
      </w:pPr>
      <w:r>
        <w:rPr>
          <w:rFonts w:hint="default" w:hAnsi="黑体" w:eastAsia="宋体" w:cs="Times New Roman"/>
          <w:szCs w:val="22"/>
          <w:lang w:val="en-US" w:eastAsia="zh-CN"/>
        </w:rPr>
        <w:t>采用固定外遮阳时，应通过计算分析对外遮阳构件的尺寸、间距等进行优化设计。南向宜采用水平式外遮阳，东、西向宜采用挡板式遮阳</w:t>
      </w:r>
      <w:r>
        <w:rPr>
          <w:rFonts w:hint="eastAsia" w:hAnsi="黑体" w:eastAsia="宋体" w:cs="Times New Roman"/>
          <w:szCs w:val="22"/>
          <w:lang w:val="en-US" w:eastAsia="zh-CN"/>
        </w:rPr>
        <w:t>。</w:t>
      </w:r>
    </w:p>
    <w:p w14:paraId="19E0092D">
      <w:pPr>
        <w:pStyle w:val="277"/>
        <w:wordWrap/>
        <w:spacing w:before="0" w:beforeLines="0" w:after="0" w:afterLines="0"/>
        <w:ind w:left="0"/>
        <w:rPr>
          <w:rFonts w:hint="default" w:hAnsi="黑体" w:eastAsia="宋体" w:cs="Times New Roman"/>
          <w:szCs w:val="22"/>
          <w:lang w:val="en-US" w:eastAsia="zh-CN"/>
        </w:rPr>
      </w:pPr>
      <w:r>
        <w:rPr>
          <w:rFonts w:hint="default" w:hAnsi="黑体" w:eastAsia="宋体" w:cs="Times New Roman"/>
          <w:szCs w:val="22"/>
          <w:lang w:val="en-US" w:eastAsia="zh-CN"/>
        </w:rPr>
        <w:t>采用绿化遮阳时，应利用合适的植物布置在建筑需要遮阳的部位，发挥遮阳的功用。</w:t>
      </w:r>
    </w:p>
    <w:p w14:paraId="5872F511">
      <w:pPr>
        <w:pStyle w:val="277"/>
        <w:numPr>
          <w:ilvl w:val="0"/>
          <w:numId w:val="0"/>
        </w:numPr>
        <w:wordWrap/>
        <w:spacing w:before="0" w:beforeLines="0" w:after="0" w:afterLines="0"/>
        <w:ind w:firstLine="420" w:firstLineChars="200"/>
        <w:outlineLvl w:val="9"/>
        <w:rPr>
          <w:rFonts w:hint="eastAsia" w:hAnsi="黑体" w:eastAsia="宋体"/>
          <w:lang w:val="en-US" w:eastAsia="zh-CN"/>
        </w:rPr>
      </w:pPr>
      <w:r>
        <w:rPr>
          <w:rFonts w:hint="eastAsia" w:hAnsi="黑体" w:eastAsia="宋体"/>
          <w:lang w:val="en-US" w:eastAsia="zh-CN"/>
        </w:rPr>
        <w:t>1.在进行景观设计时，宜考虑在建筑物的南向与西向种植高大落叶乔木，利用绿化植物对建筑进行遮阳。</w:t>
      </w:r>
    </w:p>
    <w:p w14:paraId="599898DE">
      <w:pPr>
        <w:pStyle w:val="258"/>
        <w:rPr>
          <w:rFonts w:hint="eastAsia"/>
          <w:lang w:val="en-US" w:eastAsia="zh-CN"/>
        </w:rPr>
      </w:pPr>
      <w:r>
        <w:rPr>
          <w:rFonts w:hint="eastAsia"/>
          <w:lang w:val="en-US" w:eastAsia="zh-CN"/>
        </w:rPr>
        <w:t>2.宜采取立体绿化方式，形成对外围护结构的遮阳隔热。</w:t>
      </w:r>
    </w:p>
    <w:p w14:paraId="4E7458F6">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w:t>
      </w:r>
    </w:p>
    <w:p w14:paraId="67D5BE6F">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1.冠层稀疏类乔木叶面积指数一般为2.0，冠层密集类乔木叶面积指数一般为4.0，本条中的高大落叶乔木叶面积指数应不低于3.0。</w:t>
      </w:r>
    </w:p>
    <w:p w14:paraId="01E3361C">
      <w:pPr>
        <w:pStyle w:val="362"/>
        <w:tabs>
          <w:tab w:val="left" w:pos="420"/>
        </w:tabs>
        <w:overflowPunct w:val="0"/>
      </w:pPr>
      <w:r>
        <w:rPr>
          <w:rFonts w:hint="eastAsia" w:ascii="Times New Roman" w:hAnsi="Times New Roman" w:cs="Times New Roman"/>
          <w:color w:val="0000FF"/>
          <w:szCs w:val="21"/>
        </w:rPr>
        <w:t>2.可考虑在外墙下种植攀缘植物进行遮阳，攀缘植物种类繁多，</w:t>
      </w:r>
      <w:r>
        <w:rPr>
          <w:rFonts w:hint="eastAsia" w:cs="Times New Roman"/>
          <w:color w:val="0000FF"/>
          <w:szCs w:val="21"/>
          <w:lang w:val="en-US" w:eastAsia="zh-CN"/>
        </w:rPr>
        <w:t>武汉</w:t>
      </w:r>
      <w:r>
        <w:rPr>
          <w:rFonts w:hint="eastAsia" w:ascii="Times New Roman" w:hAnsi="Times New Roman" w:cs="Times New Roman"/>
          <w:color w:val="0000FF"/>
          <w:szCs w:val="21"/>
        </w:rPr>
        <w:t>地区主要有金银花、爬山虎、紫藤、牵牛花、凌霄等。</w:t>
      </w:r>
    </w:p>
    <w:p w14:paraId="53D46236">
      <w:pPr>
        <w:pStyle w:val="258"/>
        <w:numPr>
          <w:ilvl w:val="1"/>
          <w:numId w:val="37"/>
        </w:numPr>
        <w:spacing w:before="156" w:beforeLines="50" w:after="156" w:afterLines="50"/>
        <w:ind w:firstLineChars="0"/>
        <w:outlineLvl w:val="1"/>
        <w:rPr>
          <w:rFonts w:ascii="黑体" w:hAnsi="黑体" w:eastAsia="黑体"/>
        </w:rPr>
      </w:pPr>
      <w:bookmarkStart w:id="28" w:name="_Toc2950920"/>
      <w:bookmarkStart w:id="29" w:name="_Toc1514"/>
      <w:r>
        <w:rPr>
          <w:rFonts w:ascii="黑体" w:hAnsi="黑体" w:eastAsia="黑体"/>
        </w:rPr>
        <w:t>围护结构热工设计</w:t>
      </w:r>
      <w:bookmarkEnd w:id="28"/>
      <w:bookmarkEnd w:id="29"/>
    </w:p>
    <w:p w14:paraId="24D11387">
      <w:pPr>
        <w:pStyle w:val="277"/>
        <w:numPr>
          <w:ilvl w:val="2"/>
          <w:numId w:val="38"/>
        </w:numPr>
        <w:spacing w:before="0" w:beforeLines="0" w:after="0" w:afterLines="0"/>
        <w:rPr>
          <w:rFonts w:hAnsi="黑体" w:eastAsia="宋体"/>
        </w:rPr>
      </w:pPr>
      <w:r>
        <w:rPr>
          <w:rFonts w:hint="eastAsia" w:hAnsi="黑体" w:eastAsia="宋体"/>
        </w:rPr>
        <w:t>建筑围护结构热工性能应根据性能化设计原则，以本标准4.</w:t>
      </w:r>
      <w:r>
        <w:rPr>
          <w:rFonts w:hint="eastAsia" w:hAnsi="黑体" w:eastAsia="宋体"/>
          <w:lang w:val="en-US" w:eastAsia="zh-CN"/>
        </w:rPr>
        <w:t>2</w:t>
      </w:r>
      <w:r>
        <w:rPr>
          <w:rFonts w:hint="eastAsia" w:hAnsi="黑体" w:eastAsia="宋体"/>
        </w:rPr>
        <w:t>能效指标为目标经计算确定，并应满足表</w:t>
      </w:r>
      <w:r>
        <w:rPr>
          <w:rFonts w:hint="eastAsia" w:hAnsi="黑体" w:eastAsia="宋体"/>
          <w:lang w:val="en-US" w:eastAsia="zh-CN"/>
        </w:rPr>
        <w:t>5.2</w:t>
      </w:r>
      <w:r>
        <w:rPr>
          <w:rFonts w:hint="eastAsia" w:hAnsi="黑体" w:eastAsia="宋体"/>
        </w:rPr>
        <w:t>.1要求。</w:t>
      </w:r>
    </w:p>
    <w:p w14:paraId="703E3F90">
      <w:pPr>
        <w:numPr>
          <w:ilvl w:val="255"/>
          <w:numId w:val="0"/>
        </w:numPr>
        <w:tabs>
          <w:tab w:val="left" w:pos="397"/>
        </w:tabs>
        <w:overflowPunct w:val="0"/>
        <w:jc w:val="center"/>
        <w:rPr>
          <w:rStyle w:val="698"/>
          <w:rFonts w:ascii="Times New Roman" w:hAnsi="Times New Roman" w:cs="Times New Roman" w:eastAsiaTheme="minorEastAsia"/>
          <w:color w:val="auto"/>
        </w:rPr>
      </w:pPr>
      <w:r>
        <w:rPr>
          <w:rFonts w:ascii="黑体" w:hAnsi="黑体" w:eastAsia="黑体" w:cs="黑体"/>
          <w:sz w:val="18"/>
          <w:szCs w:val="18"/>
        </w:rPr>
        <w:t>表</w:t>
      </w:r>
      <w:r>
        <w:rPr>
          <w:rFonts w:hint="eastAsia" w:ascii="黑体" w:hAnsi="黑体" w:eastAsia="黑体" w:cs="黑体"/>
          <w:sz w:val="18"/>
          <w:szCs w:val="18"/>
          <w:lang w:val="en-US" w:eastAsia="zh-CN"/>
        </w:rPr>
        <w:t>5</w:t>
      </w:r>
      <w:r>
        <w:rPr>
          <w:rFonts w:hint="eastAsia" w:ascii="黑体" w:hAnsi="黑体" w:eastAsia="黑体" w:cs="黑体"/>
          <w:sz w:val="18"/>
          <w:szCs w:val="18"/>
        </w:rPr>
        <w:t>.</w:t>
      </w:r>
      <w:r>
        <w:rPr>
          <w:rFonts w:hint="eastAsia" w:ascii="黑体" w:hAnsi="黑体" w:eastAsia="黑体" w:cs="黑体"/>
          <w:sz w:val="18"/>
          <w:szCs w:val="18"/>
          <w:lang w:val="en-US" w:eastAsia="zh-CN"/>
        </w:rPr>
        <w:t>2</w:t>
      </w:r>
      <w:r>
        <w:rPr>
          <w:rFonts w:hint="eastAsia" w:ascii="黑体" w:hAnsi="黑体" w:eastAsia="黑体" w:cs="黑体"/>
          <w:sz w:val="18"/>
          <w:szCs w:val="18"/>
        </w:rPr>
        <w:t>.1　建筑围护结构热工性能限值</w:t>
      </w:r>
    </w:p>
    <w:tbl>
      <w:tblPr>
        <w:tblStyle w:val="88"/>
        <w:tblW w:w="996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57" w:type="dxa"/>
          <w:bottom w:w="0" w:type="dxa"/>
          <w:right w:w="57" w:type="dxa"/>
        </w:tblCellMar>
      </w:tblPr>
      <w:tblGrid>
        <w:gridCol w:w="1283"/>
        <w:gridCol w:w="2016"/>
        <w:gridCol w:w="1392"/>
        <w:gridCol w:w="982"/>
        <w:gridCol w:w="931"/>
        <w:gridCol w:w="1574"/>
        <w:gridCol w:w="1041"/>
        <w:gridCol w:w="747"/>
      </w:tblGrid>
      <w:tr w14:paraId="780E77B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tcBorders>
              <w:tl2br w:val="nil"/>
              <w:tr2bl w:val="nil"/>
            </w:tcBorders>
            <w:vAlign w:val="center"/>
          </w:tcPr>
          <w:p w14:paraId="5B567387">
            <w:pPr>
              <w:overflowPunct w:val="0"/>
              <w:jc w:val="center"/>
              <w:rPr>
                <w:rFonts w:ascii="Times New Roman" w:hAnsi="Times New Roman"/>
                <w:sz w:val="18"/>
                <w:szCs w:val="18"/>
              </w:rPr>
            </w:pPr>
            <w:r>
              <w:rPr>
                <w:rFonts w:hint="eastAsia" w:ascii="Times New Roman" w:hAnsi="Times New Roman"/>
                <w:sz w:val="18"/>
                <w:szCs w:val="18"/>
              </w:rPr>
              <w:t>气候分区</w:t>
            </w:r>
          </w:p>
        </w:tc>
        <w:tc>
          <w:tcPr>
            <w:tcW w:w="3305" w:type="dxa"/>
            <w:gridSpan w:val="3"/>
            <w:tcBorders>
              <w:tl2br w:val="nil"/>
              <w:tr2bl w:val="nil"/>
            </w:tcBorders>
            <w:vAlign w:val="center"/>
          </w:tcPr>
          <w:p w14:paraId="7FB8711B">
            <w:pPr>
              <w:overflowPunct w:val="0"/>
              <w:jc w:val="center"/>
              <w:rPr>
                <w:rFonts w:hint="eastAsia" w:ascii="Times New Roman" w:hAnsi="Times New Roman" w:eastAsia="宋体"/>
                <w:sz w:val="18"/>
                <w:szCs w:val="18"/>
                <w:lang w:eastAsia="zh-CN"/>
              </w:rPr>
            </w:pPr>
            <w:r>
              <w:rPr>
                <w:rFonts w:hint="eastAsia" w:ascii="Times New Roman" w:hAnsi="Times New Roman"/>
                <w:sz w:val="18"/>
                <w:szCs w:val="18"/>
                <w:lang w:val="en-US" w:eastAsia="zh-CN"/>
              </w:rPr>
              <w:t>居住建筑</w:t>
            </w:r>
          </w:p>
        </w:tc>
        <w:tc>
          <w:tcPr>
            <w:tcW w:w="3362" w:type="dxa"/>
            <w:gridSpan w:val="3"/>
            <w:tcBorders>
              <w:tl2br w:val="nil"/>
              <w:tr2bl w:val="nil"/>
            </w:tcBorders>
            <w:vAlign w:val="center"/>
          </w:tcPr>
          <w:p w14:paraId="4A07EAEA">
            <w:pPr>
              <w:overflowPunct w:val="0"/>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公共建筑</w:t>
            </w:r>
          </w:p>
        </w:tc>
      </w:tr>
      <w:tr w14:paraId="08B9A3C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trHeight w:val="651" w:hRule="atLeast"/>
          <w:jc w:val="center"/>
        </w:trPr>
        <w:tc>
          <w:tcPr>
            <w:tcW w:w="3299" w:type="dxa"/>
            <w:gridSpan w:val="2"/>
            <w:vMerge w:val="restart"/>
            <w:tcBorders>
              <w:right w:val="single" w:color="auto" w:sz="4" w:space="0"/>
              <w:tl2br w:val="nil"/>
              <w:tr2bl w:val="nil"/>
            </w:tcBorders>
            <w:vAlign w:val="center"/>
          </w:tcPr>
          <w:p w14:paraId="79081277">
            <w:pPr>
              <w:overflowPunct w:val="0"/>
              <w:jc w:val="center"/>
              <w:rPr>
                <w:rFonts w:ascii="Times New Roman" w:hAnsi="Times New Roman"/>
                <w:sz w:val="18"/>
                <w:szCs w:val="18"/>
              </w:rPr>
            </w:pPr>
            <w:r>
              <w:rPr>
                <w:rFonts w:hint="eastAsia" w:ascii="Times New Roman" w:hAnsi="Times New Roman"/>
                <w:sz w:val="18"/>
                <w:szCs w:val="18"/>
              </w:rPr>
              <w:t>围护结构部位</w:t>
            </w:r>
          </w:p>
        </w:tc>
        <w:tc>
          <w:tcPr>
            <w:tcW w:w="1392" w:type="dxa"/>
            <w:vMerge w:val="restart"/>
            <w:tcBorders>
              <w:left w:val="single" w:color="auto" w:sz="4" w:space="0"/>
              <w:right w:val="single" w:color="auto" w:sz="4" w:space="0"/>
              <w:tl2br w:val="nil"/>
              <w:tr2bl w:val="nil"/>
            </w:tcBorders>
            <w:vAlign w:val="center"/>
          </w:tcPr>
          <w:p w14:paraId="1BD7EEDF">
            <w:pPr>
              <w:overflowPunct w:val="0"/>
              <w:jc w:val="center"/>
              <w:rPr>
                <w:rFonts w:ascii="Times New Roman" w:hAnsi="Times New Roman"/>
                <w:sz w:val="18"/>
                <w:szCs w:val="18"/>
              </w:rPr>
            </w:pPr>
            <w:r>
              <w:rPr>
                <w:rFonts w:hint="eastAsia" w:ascii="Times New Roman" w:hAnsi="Times New Roman"/>
                <w:sz w:val="18"/>
                <w:szCs w:val="18"/>
              </w:rPr>
              <w:t>传热系数</w:t>
            </w:r>
          </w:p>
          <w:p w14:paraId="380D5125">
            <w:pPr>
              <w:overflowPunct w:val="0"/>
              <w:jc w:val="center"/>
              <w:rPr>
                <w:rFonts w:ascii="Times New Roman" w:hAnsi="Times New Roman"/>
                <w:sz w:val="18"/>
                <w:szCs w:val="18"/>
              </w:rPr>
            </w:pPr>
            <w:r>
              <w:rPr>
                <w:rFonts w:hint="eastAsia" w:ascii="Times New Roman" w:hAnsi="Times New Roman"/>
                <w:sz w:val="18"/>
                <w:szCs w:val="18"/>
              </w:rPr>
              <w:t>K[</w:t>
            </w:r>
            <w:r>
              <w:rPr>
                <w:rFonts w:ascii="Times New Roman" w:hAnsi="Times New Roman"/>
                <w:sz w:val="18"/>
                <w:szCs w:val="18"/>
              </w:rPr>
              <w:t>W/（m</w:t>
            </w:r>
            <w:r>
              <w:rPr>
                <w:rFonts w:ascii="Times New Roman" w:hAnsi="Times New Roman"/>
                <w:sz w:val="18"/>
                <w:szCs w:val="18"/>
                <w:vertAlign w:val="superscript"/>
              </w:rPr>
              <w:t>2</w:t>
            </w:r>
            <w:r>
              <w:rPr>
                <w:rFonts w:ascii="Times New Roman" w:hAnsi="Times New Roman"/>
                <w:sz w:val="18"/>
                <w:szCs w:val="18"/>
              </w:rPr>
              <w:sym w:font="Wingdings" w:char="F09E"/>
            </w:r>
            <w:r>
              <w:rPr>
                <w:rFonts w:hint="eastAsia" w:ascii="Times New Roman" w:hAnsi="Times New Roman"/>
                <w:sz w:val="18"/>
                <w:szCs w:val="18"/>
              </w:rPr>
              <w:t>K</w:t>
            </w:r>
            <w:r>
              <w:rPr>
                <w:rFonts w:ascii="Times New Roman" w:hAnsi="Times New Roman"/>
                <w:sz w:val="18"/>
                <w:szCs w:val="18"/>
              </w:rPr>
              <w:t>）</w:t>
            </w:r>
            <w:r>
              <w:rPr>
                <w:rFonts w:hint="eastAsia" w:ascii="Times New Roman" w:hAnsi="Times New Roman"/>
                <w:sz w:val="18"/>
                <w:szCs w:val="18"/>
              </w:rPr>
              <w:t>]</w:t>
            </w:r>
          </w:p>
        </w:tc>
        <w:tc>
          <w:tcPr>
            <w:tcW w:w="1913" w:type="dxa"/>
            <w:gridSpan w:val="2"/>
            <w:tcBorders>
              <w:left w:val="single" w:color="auto" w:sz="4" w:space="0"/>
              <w:bottom w:val="single" w:color="auto" w:sz="4" w:space="0"/>
              <w:right w:val="single" w:color="auto" w:sz="4" w:space="0"/>
              <w:tl2br w:val="nil"/>
              <w:tr2bl w:val="nil"/>
            </w:tcBorders>
            <w:vAlign w:val="center"/>
          </w:tcPr>
          <w:p w14:paraId="1F9C271A">
            <w:pPr>
              <w:overflowPunct w:val="0"/>
              <w:jc w:val="center"/>
              <w:rPr>
                <w:rFonts w:hint="eastAsia" w:ascii="Times New Roman" w:hAnsi="Times New Roman"/>
                <w:sz w:val="18"/>
                <w:szCs w:val="18"/>
              </w:rPr>
            </w:pPr>
            <w:r>
              <w:rPr>
                <w:rFonts w:hint="eastAsia" w:ascii="Times New Roman" w:hAnsi="Times New Roman"/>
                <w:sz w:val="18"/>
                <w:szCs w:val="18"/>
              </w:rPr>
              <w:t>太阳得热系数SHGC</w:t>
            </w:r>
          </w:p>
          <w:p w14:paraId="5F0EC653">
            <w:pPr>
              <w:overflowPunct w:val="0"/>
              <w:jc w:val="center"/>
              <w:rPr>
                <w:rFonts w:ascii="Times New Roman" w:hAnsi="Times New Roman"/>
                <w:sz w:val="18"/>
                <w:szCs w:val="18"/>
              </w:rPr>
            </w:pPr>
            <w:r>
              <w:rPr>
                <w:rFonts w:hint="eastAsia" w:ascii="Times New Roman" w:hAnsi="Times New Roman"/>
                <w:sz w:val="18"/>
                <w:szCs w:val="18"/>
              </w:rPr>
              <w:t>（</w:t>
            </w:r>
            <w:r>
              <w:rPr>
                <w:rFonts w:hint="eastAsia"/>
                <w:sz w:val="18"/>
                <w:szCs w:val="18"/>
                <w:lang w:val="en-US" w:eastAsia="zh-CN"/>
              </w:rPr>
              <w:t>南</w:t>
            </w:r>
            <w:r>
              <w:rPr>
                <w:rFonts w:hint="eastAsia" w:ascii="Times New Roman" w:hAnsi="Times New Roman"/>
                <w:sz w:val="18"/>
                <w:szCs w:val="18"/>
              </w:rPr>
              <w:t>向/</w:t>
            </w:r>
            <w:r>
              <w:rPr>
                <w:rFonts w:hint="eastAsia"/>
                <w:sz w:val="18"/>
                <w:szCs w:val="18"/>
                <w:lang w:val="en-US" w:eastAsia="zh-CN"/>
              </w:rPr>
              <w:t>东西</w:t>
            </w:r>
            <w:r>
              <w:rPr>
                <w:rFonts w:hint="eastAsia" w:ascii="Times New Roman" w:hAnsi="Times New Roman"/>
                <w:sz w:val="18"/>
                <w:szCs w:val="18"/>
              </w:rPr>
              <w:t>向）</w:t>
            </w:r>
          </w:p>
        </w:tc>
        <w:tc>
          <w:tcPr>
            <w:tcW w:w="1574" w:type="dxa"/>
            <w:vMerge w:val="restart"/>
            <w:tcBorders>
              <w:left w:val="single" w:color="auto" w:sz="4" w:space="0"/>
              <w:right w:val="single" w:color="auto" w:sz="4" w:space="0"/>
              <w:tl2br w:val="nil"/>
              <w:tr2bl w:val="nil"/>
            </w:tcBorders>
            <w:vAlign w:val="center"/>
          </w:tcPr>
          <w:p w14:paraId="1C903C77">
            <w:pPr>
              <w:overflowPunct w:val="0"/>
              <w:jc w:val="center"/>
              <w:rPr>
                <w:rFonts w:ascii="Times New Roman" w:hAnsi="Times New Roman"/>
                <w:sz w:val="18"/>
                <w:szCs w:val="18"/>
              </w:rPr>
            </w:pPr>
            <w:r>
              <w:rPr>
                <w:rFonts w:hint="eastAsia" w:ascii="Times New Roman" w:hAnsi="Times New Roman"/>
                <w:sz w:val="18"/>
                <w:szCs w:val="18"/>
              </w:rPr>
              <w:t>传热系数</w:t>
            </w:r>
          </w:p>
          <w:p w14:paraId="1E227D4C">
            <w:pPr>
              <w:overflowPunct w:val="0"/>
              <w:jc w:val="center"/>
              <w:rPr>
                <w:rFonts w:ascii="Times New Roman" w:hAnsi="Times New Roman"/>
                <w:sz w:val="18"/>
                <w:szCs w:val="18"/>
              </w:rPr>
            </w:pPr>
            <w:r>
              <w:rPr>
                <w:rFonts w:hint="eastAsia" w:ascii="Times New Roman" w:hAnsi="Times New Roman"/>
                <w:sz w:val="18"/>
                <w:szCs w:val="18"/>
              </w:rPr>
              <w:t>K[</w:t>
            </w:r>
            <w:r>
              <w:rPr>
                <w:rFonts w:ascii="Times New Roman" w:hAnsi="Times New Roman"/>
                <w:sz w:val="18"/>
                <w:szCs w:val="18"/>
              </w:rPr>
              <w:t>W/（m</w:t>
            </w:r>
            <w:r>
              <w:rPr>
                <w:rFonts w:ascii="Times New Roman" w:hAnsi="Times New Roman"/>
                <w:sz w:val="18"/>
                <w:szCs w:val="18"/>
                <w:vertAlign w:val="superscript"/>
              </w:rPr>
              <w:t>2</w:t>
            </w:r>
            <w:r>
              <w:rPr>
                <w:rFonts w:ascii="Times New Roman" w:hAnsi="Times New Roman"/>
                <w:sz w:val="18"/>
                <w:szCs w:val="18"/>
              </w:rPr>
              <w:sym w:font="Wingdings" w:char="F09E"/>
            </w:r>
            <w:r>
              <w:rPr>
                <w:rFonts w:hint="eastAsia" w:ascii="Times New Roman" w:hAnsi="Times New Roman"/>
                <w:sz w:val="18"/>
                <w:szCs w:val="18"/>
              </w:rPr>
              <w:t>K</w:t>
            </w:r>
            <w:r>
              <w:rPr>
                <w:rFonts w:ascii="Times New Roman" w:hAnsi="Times New Roman"/>
                <w:sz w:val="18"/>
                <w:szCs w:val="18"/>
              </w:rPr>
              <w:t>）</w:t>
            </w:r>
            <w:r>
              <w:rPr>
                <w:rFonts w:hint="eastAsia" w:ascii="Times New Roman" w:hAnsi="Times New Roman"/>
                <w:sz w:val="18"/>
                <w:szCs w:val="18"/>
              </w:rPr>
              <w:t>]</w:t>
            </w:r>
          </w:p>
        </w:tc>
        <w:tc>
          <w:tcPr>
            <w:tcW w:w="1788" w:type="dxa"/>
            <w:gridSpan w:val="2"/>
            <w:tcBorders>
              <w:left w:val="single" w:color="auto" w:sz="4" w:space="0"/>
              <w:bottom w:val="single" w:color="auto" w:sz="4" w:space="0"/>
              <w:tl2br w:val="nil"/>
              <w:tr2bl w:val="nil"/>
            </w:tcBorders>
            <w:vAlign w:val="center"/>
          </w:tcPr>
          <w:p w14:paraId="67FF3DE4">
            <w:pPr>
              <w:overflowPunct w:val="0"/>
              <w:jc w:val="center"/>
              <w:rPr>
                <w:rFonts w:ascii="Times New Roman" w:hAnsi="Times New Roman"/>
                <w:sz w:val="18"/>
                <w:szCs w:val="18"/>
              </w:rPr>
            </w:pPr>
            <w:r>
              <w:rPr>
                <w:rFonts w:hint="eastAsia" w:ascii="Times New Roman" w:hAnsi="Times New Roman"/>
                <w:sz w:val="18"/>
                <w:szCs w:val="18"/>
              </w:rPr>
              <w:t>太阳得热系数SHGC（东、南、西向/北向）</w:t>
            </w:r>
          </w:p>
        </w:tc>
      </w:tr>
      <w:tr w14:paraId="6B05E1F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vMerge w:val="continue"/>
            <w:tcBorders>
              <w:right w:val="single" w:color="auto" w:sz="4" w:space="0"/>
              <w:tl2br w:val="nil"/>
              <w:tr2bl w:val="nil"/>
            </w:tcBorders>
            <w:vAlign w:val="center"/>
          </w:tcPr>
          <w:p w14:paraId="55E6C99C">
            <w:pPr>
              <w:overflowPunct w:val="0"/>
              <w:jc w:val="center"/>
              <w:rPr>
                <w:rFonts w:hint="eastAsia" w:ascii="Times New Roman" w:hAnsi="Times New Roman"/>
                <w:sz w:val="18"/>
                <w:szCs w:val="18"/>
              </w:rPr>
            </w:pPr>
            <w:bookmarkStart w:id="30" w:name="OLE_LINK5" w:colFirst="2" w:colLast="3"/>
          </w:p>
        </w:tc>
        <w:tc>
          <w:tcPr>
            <w:tcW w:w="1392" w:type="dxa"/>
            <w:vMerge w:val="continue"/>
            <w:tcBorders>
              <w:left w:val="single" w:color="auto" w:sz="4" w:space="0"/>
              <w:bottom w:val="single" w:color="auto" w:sz="4" w:space="0"/>
              <w:right w:val="single" w:color="auto" w:sz="4" w:space="0"/>
              <w:tl2br w:val="nil"/>
              <w:tr2bl w:val="nil"/>
            </w:tcBorders>
            <w:vAlign w:val="center"/>
          </w:tcPr>
          <w:p w14:paraId="0C607E87">
            <w:pPr>
              <w:overflowPunct w:val="0"/>
              <w:jc w:val="center"/>
              <w:rPr>
                <w:rFonts w:hint="eastAsia" w:ascii="Times New Roman" w:hAnsi="Times New Roman"/>
                <w:sz w:val="18"/>
                <w:szCs w:val="18"/>
              </w:rPr>
            </w:pPr>
          </w:p>
        </w:tc>
        <w:tc>
          <w:tcPr>
            <w:tcW w:w="982" w:type="dxa"/>
            <w:tcBorders>
              <w:top w:val="single" w:color="auto" w:sz="4" w:space="0"/>
              <w:left w:val="single" w:color="auto" w:sz="4" w:space="0"/>
              <w:bottom w:val="single" w:color="auto" w:sz="4" w:space="0"/>
              <w:right w:val="single" w:color="auto" w:sz="4" w:space="0"/>
              <w:tl2br w:val="nil"/>
              <w:tr2bl w:val="nil"/>
            </w:tcBorders>
            <w:vAlign w:val="center"/>
          </w:tcPr>
          <w:p w14:paraId="7927DB62">
            <w:pPr>
              <w:overflowPunct w:val="0"/>
              <w:jc w:val="center"/>
              <w:rPr>
                <w:rFonts w:hint="eastAsia" w:ascii="Times New Roman" w:hAnsi="Times New Roman" w:eastAsia="宋体"/>
                <w:sz w:val="18"/>
                <w:szCs w:val="18"/>
                <w:lang w:val="en-US" w:eastAsia="zh-CN"/>
              </w:rPr>
            </w:pPr>
            <w:r>
              <w:rPr>
                <w:rFonts w:hint="eastAsia"/>
                <w:sz w:val="18"/>
                <w:szCs w:val="18"/>
                <w:lang w:val="en-US" w:eastAsia="zh-CN"/>
              </w:rPr>
              <w:t>夏季</w:t>
            </w:r>
          </w:p>
        </w:tc>
        <w:tc>
          <w:tcPr>
            <w:tcW w:w="931" w:type="dxa"/>
            <w:tcBorders>
              <w:top w:val="single" w:color="auto" w:sz="4" w:space="0"/>
              <w:left w:val="single" w:color="auto" w:sz="4" w:space="0"/>
              <w:bottom w:val="single" w:color="auto" w:sz="4" w:space="0"/>
              <w:right w:val="single" w:color="auto" w:sz="4" w:space="0"/>
              <w:tl2br w:val="nil"/>
              <w:tr2bl w:val="nil"/>
            </w:tcBorders>
            <w:vAlign w:val="center"/>
          </w:tcPr>
          <w:p w14:paraId="2F51B3D2">
            <w:pPr>
              <w:overflowPunct w:val="0"/>
              <w:jc w:val="center"/>
              <w:rPr>
                <w:rFonts w:hint="eastAsia" w:ascii="Times New Roman" w:hAnsi="Times New Roman" w:eastAsia="宋体"/>
                <w:sz w:val="18"/>
                <w:szCs w:val="18"/>
                <w:lang w:val="en-US" w:eastAsia="zh-CN"/>
              </w:rPr>
            </w:pPr>
            <w:r>
              <w:rPr>
                <w:rFonts w:hint="eastAsia"/>
                <w:sz w:val="18"/>
                <w:szCs w:val="18"/>
                <w:lang w:val="en-US" w:eastAsia="zh-CN"/>
              </w:rPr>
              <w:t>冬季</w:t>
            </w:r>
          </w:p>
        </w:tc>
        <w:tc>
          <w:tcPr>
            <w:tcW w:w="1574" w:type="dxa"/>
            <w:vMerge w:val="continue"/>
            <w:tcBorders>
              <w:left w:val="single" w:color="auto" w:sz="4" w:space="0"/>
              <w:bottom w:val="single" w:color="auto" w:sz="4" w:space="0"/>
              <w:right w:val="single" w:color="auto" w:sz="4" w:space="0"/>
              <w:tl2br w:val="nil"/>
              <w:tr2bl w:val="nil"/>
            </w:tcBorders>
            <w:vAlign w:val="center"/>
          </w:tcPr>
          <w:p w14:paraId="60C53FB1">
            <w:pPr>
              <w:overflowPunct w:val="0"/>
              <w:jc w:val="center"/>
              <w:rPr>
                <w:rFonts w:hint="eastAsia" w:ascii="Times New Roman" w:hAnsi="Times New Roman"/>
                <w:sz w:val="18"/>
                <w:szCs w:val="18"/>
              </w:rPr>
            </w:pPr>
          </w:p>
        </w:tc>
        <w:tc>
          <w:tcPr>
            <w:tcW w:w="1041" w:type="dxa"/>
            <w:tcBorders>
              <w:top w:val="single" w:color="auto" w:sz="4" w:space="0"/>
              <w:left w:val="single" w:color="auto" w:sz="4" w:space="0"/>
              <w:bottom w:val="single" w:color="auto" w:sz="4" w:space="0"/>
              <w:tl2br w:val="nil"/>
              <w:tr2bl w:val="nil"/>
            </w:tcBorders>
            <w:vAlign w:val="center"/>
          </w:tcPr>
          <w:p w14:paraId="1754837D">
            <w:pPr>
              <w:overflowPunct w:val="0"/>
              <w:jc w:val="center"/>
              <w:rPr>
                <w:rFonts w:hint="eastAsia" w:ascii="Times New Roman" w:hAnsi="Times New Roman"/>
                <w:sz w:val="18"/>
                <w:szCs w:val="18"/>
              </w:rPr>
            </w:pPr>
            <w:r>
              <w:rPr>
                <w:rFonts w:hint="eastAsia"/>
                <w:sz w:val="18"/>
                <w:szCs w:val="18"/>
                <w:lang w:val="en-US" w:eastAsia="zh-CN"/>
              </w:rPr>
              <w:t>夏季</w:t>
            </w:r>
          </w:p>
        </w:tc>
        <w:tc>
          <w:tcPr>
            <w:tcW w:w="747" w:type="dxa"/>
            <w:tcBorders>
              <w:top w:val="single" w:color="auto" w:sz="4" w:space="0"/>
              <w:left w:val="single" w:color="auto" w:sz="4" w:space="0"/>
              <w:bottom w:val="single" w:color="auto" w:sz="4" w:space="0"/>
              <w:tl2br w:val="nil"/>
              <w:tr2bl w:val="nil"/>
            </w:tcBorders>
            <w:vAlign w:val="center"/>
          </w:tcPr>
          <w:p w14:paraId="5BC723D3">
            <w:pPr>
              <w:overflowPunct w:val="0"/>
              <w:jc w:val="center"/>
              <w:rPr>
                <w:rFonts w:hint="eastAsia" w:ascii="Times New Roman" w:hAnsi="Times New Roman"/>
                <w:sz w:val="18"/>
                <w:szCs w:val="18"/>
              </w:rPr>
            </w:pPr>
            <w:r>
              <w:rPr>
                <w:rFonts w:hint="eastAsia"/>
                <w:sz w:val="18"/>
                <w:szCs w:val="18"/>
                <w:lang w:val="en-US" w:eastAsia="zh-CN"/>
              </w:rPr>
              <w:t>冬季</w:t>
            </w:r>
          </w:p>
        </w:tc>
      </w:tr>
      <w:bookmarkEnd w:id="30"/>
      <w:tr w14:paraId="233EF30A">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restart"/>
            <w:tcBorders>
              <w:top w:val="single" w:color="auto" w:sz="4" w:space="0"/>
              <w:right w:val="single" w:color="auto" w:sz="4" w:space="0"/>
              <w:tl2br w:val="nil"/>
              <w:tr2bl w:val="nil"/>
            </w:tcBorders>
            <w:vAlign w:val="center"/>
          </w:tcPr>
          <w:p w14:paraId="1CEC2A8F">
            <w:pPr>
              <w:overflowPunct w:val="0"/>
              <w:jc w:val="center"/>
              <w:rPr>
                <w:rFonts w:ascii="Times New Roman" w:hAnsi="Times New Roman"/>
                <w:sz w:val="18"/>
                <w:szCs w:val="18"/>
              </w:rPr>
            </w:pPr>
            <w:r>
              <w:rPr>
                <w:rFonts w:hint="eastAsia" w:ascii="Times New Roman" w:hAnsi="Times New Roman"/>
                <w:sz w:val="18"/>
                <w:szCs w:val="18"/>
              </w:rPr>
              <w:t>屋面</w:t>
            </w:r>
          </w:p>
        </w:tc>
        <w:tc>
          <w:tcPr>
            <w:tcW w:w="2016" w:type="dxa"/>
            <w:tcBorders>
              <w:top w:val="single" w:color="auto" w:sz="4" w:space="0"/>
              <w:bottom w:val="single" w:color="auto" w:sz="4" w:space="0"/>
              <w:right w:val="single" w:color="auto" w:sz="4" w:space="0"/>
              <w:tl2br w:val="nil"/>
              <w:tr2bl w:val="nil"/>
            </w:tcBorders>
            <w:vAlign w:val="center"/>
          </w:tcPr>
          <w:p w14:paraId="233D5E08">
            <w:pPr>
              <w:overflowPunct w:val="0"/>
              <w:jc w:val="center"/>
              <w:rPr>
                <w:rFonts w:ascii="Times New Roman" w:hAnsi="Times New Roman"/>
                <w:sz w:val="18"/>
                <w:szCs w:val="18"/>
              </w:rPr>
            </w:pPr>
            <w:r>
              <w:rPr>
                <w:rFonts w:hint="eastAsia" w:ascii="Times New Roman" w:hAnsi="Times New Roman"/>
                <w:sz w:val="18"/>
                <w:szCs w:val="18"/>
              </w:rPr>
              <w:t>高层</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50A6D2E6">
            <w:pPr>
              <w:overflowPunct w:val="0"/>
              <w:jc w:val="center"/>
              <w:rPr>
                <w:rFonts w:ascii="Times New Roman" w:hAnsi="Times New Roman"/>
                <w:sz w:val="18"/>
                <w:szCs w:val="18"/>
              </w:rPr>
            </w:pPr>
            <w:r>
              <w:rPr>
                <w:rFonts w:hint="eastAsia" w:ascii="Times New Roman" w:hAnsi="Times New Roman"/>
                <w:sz w:val="18"/>
                <w:szCs w:val="18"/>
              </w:rPr>
              <w:t>≤0.</w:t>
            </w:r>
            <w:r>
              <w:rPr>
                <w:rFonts w:hint="eastAsia" w:ascii="Times New Roman" w:hAnsi="Times New Roman"/>
                <w:sz w:val="18"/>
                <w:szCs w:val="18"/>
                <w:lang w:val="en-US" w:eastAsia="zh-CN"/>
              </w:rPr>
              <w:t>3</w:t>
            </w:r>
            <w:r>
              <w:rPr>
                <w:rFonts w:hint="eastAsia" w:ascii="Times New Roman" w:hAnsi="Times New Roman"/>
                <w:sz w:val="18"/>
                <w:szCs w:val="18"/>
              </w:rPr>
              <w:t>0</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CC0D8A7">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4DBFBD65">
            <w:pPr>
              <w:overflowPunct w:val="0"/>
              <w:jc w:val="center"/>
              <w:rPr>
                <w:rFonts w:ascii="Times New Roman" w:hAnsi="Times New Roman"/>
                <w:sz w:val="18"/>
                <w:szCs w:val="18"/>
              </w:rPr>
            </w:pPr>
            <w:r>
              <w:rPr>
                <w:rFonts w:hint="eastAsia" w:ascii="Times New Roman" w:hAnsi="Times New Roman"/>
                <w:sz w:val="18"/>
                <w:szCs w:val="18"/>
              </w:rPr>
              <w:t>≤0.40</w:t>
            </w:r>
          </w:p>
        </w:tc>
        <w:tc>
          <w:tcPr>
            <w:tcW w:w="1788" w:type="dxa"/>
            <w:gridSpan w:val="2"/>
            <w:tcBorders>
              <w:top w:val="single" w:color="auto" w:sz="4" w:space="0"/>
              <w:left w:val="single" w:color="auto" w:sz="4" w:space="0"/>
              <w:bottom w:val="single" w:color="auto" w:sz="4" w:space="0"/>
              <w:tl2br w:val="nil"/>
              <w:tr2bl w:val="nil"/>
            </w:tcBorders>
            <w:vAlign w:val="center"/>
          </w:tcPr>
          <w:p w14:paraId="54C56AEC">
            <w:pPr>
              <w:overflowPunct w:val="0"/>
              <w:jc w:val="center"/>
              <w:rPr>
                <w:rFonts w:ascii="Times New Roman" w:hAnsi="Times New Roman"/>
                <w:sz w:val="18"/>
                <w:szCs w:val="18"/>
              </w:rPr>
            </w:pPr>
            <w:r>
              <w:rPr>
                <w:rFonts w:hint="eastAsia" w:ascii="Times New Roman" w:hAnsi="Times New Roman"/>
                <w:sz w:val="18"/>
                <w:szCs w:val="18"/>
              </w:rPr>
              <w:t>—</w:t>
            </w:r>
          </w:p>
        </w:tc>
      </w:tr>
      <w:tr w14:paraId="375B9CA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bottom w:val="single" w:color="auto" w:sz="4" w:space="0"/>
              <w:right w:val="single" w:color="auto" w:sz="4" w:space="0"/>
              <w:tl2br w:val="nil"/>
              <w:tr2bl w:val="nil"/>
            </w:tcBorders>
            <w:vAlign w:val="center"/>
          </w:tcPr>
          <w:p w14:paraId="254B5409">
            <w:pPr>
              <w:overflowPunct w:val="0"/>
              <w:jc w:val="center"/>
              <w:rPr>
                <w:rFonts w:ascii="Times New Roman" w:hAnsi="Times New Roman"/>
                <w:sz w:val="18"/>
                <w:szCs w:val="18"/>
              </w:rPr>
            </w:pPr>
          </w:p>
        </w:tc>
        <w:tc>
          <w:tcPr>
            <w:tcW w:w="2016" w:type="dxa"/>
            <w:tcBorders>
              <w:top w:val="single" w:color="auto" w:sz="4" w:space="0"/>
              <w:bottom w:val="single" w:color="auto" w:sz="4" w:space="0"/>
              <w:right w:val="single" w:color="auto" w:sz="4" w:space="0"/>
              <w:tl2br w:val="nil"/>
              <w:tr2bl w:val="nil"/>
            </w:tcBorders>
            <w:vAlign w:val="center"/>
          </w:tcPr>
          <w:p w14:paraId="78793887">
            <w:pPr>
              <w:overflowPunct w:val="0"/>
              <w:jc w:val="center"/>
              <w:rPr>
                <w:rFonts w:ascii="Times New Roman" w:hAnsi="Times New Roman"/>
                <w:sz w:val="18"/>
                <w:szCs w:val="18"/>
              </w:rPr>
            </w:pPr>
            <w:r>
              <w:rPr>
                <w:rFonts w:hint="eastAsia" w:ascii="Times New Roman" w:hAnsi="Times New Roman"/>
                <w:sz w:val="18"/>
                <w:szCs w:val="18"/>
              </w:rPr>
              <w:t>单、多层</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7EFD5CEA">
            <w:pPr>
              <w:overflowPunct w:val="0"/>
              <w:jc w:val="center"/>
              <w:rPr>
                <w:rFonts w:hint="default" w:ascii="Times New Roman" w:hAnsi="Times New Roman" w:eastAsia="宋体"/>
                <w:sz w:val="18"/>
                <w:szCs w:val="18"/>
                <w:lang w:val="en-US" w:eastAsia="zh-CN"/>
              </w:rPr>
            </w:pPr>
            <w:r>
              <w:rPr>
                <w:rFonts w:hint="eastAsia" w:ascii="Times New Roman" w:hAnsi="Times New Roman"/>
                <w:sz w:val="18"/>
                <w:szCs w:val="18"/>
              </w:rPr>
              <w:t>≤0.</w:t>
            </w:r>
            <w:r>
              <w:rPr>
                <w:rFonts w:hint="eastAsia"/>
                <w:sz w:val="18"/>
                <w:szCs w:val="18"/>
                <w:lang w:val="en-US" w:eastAsia="zh-CN"/>
              </w:rPr>
              <w:t>25</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AEBD26B">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03D44FB2">
            <w:pPr>
              <w:overflowPunct w:val="0"/>
              <w:jc w:val="center"/>
              <w:rPr>
                <w:rFonts w:ascii="Times New Roman" w:hAnsi="Times New Roman"/>
                <w:sz w:val="18"/>
                <w:szCs w:val="18"/>
              </w:rPr>
            </w:pPr>
            <w:r>
              <w:rPr>
                <w:rFonts w:hint="eastAsia" w:ascii="Times New Roman" w:hAnsi="Times New Roman"/>
                <w:sz w:val="18"/>
                <w:szCs w:val="18"/>
              </w:rPr>
              <w:t>≤0.30</w:t>
            </w:r>
          </w:p>
        </w:tc>
        <w:tc>
          <w:tcPr>
            <w:tcW w:w="1788" w:type="dxa"/>
            <w:gridSpan w:val="2"/>
            <w:tcBorders>
              <w:top w:val="single" w:color="auto" w:sz="4" w:space="0"/>
              <w:left w:val="single" w:color="auto" w:sz="4" w:space="0"/>
              <w:bottom w:val="single" w:color="auto" w:sz="4" w:space="0"/>
              <w:tl2br w:val="nil"/>
              <w:tr2bl w:val="nil"/>
            </w:tcBorders>
            <w:vAlign w:val="center"/>
          </w:tcPr>
          <w:p w14:paraId="598A7F6B">
            <w:pPr>
              <w:overflowPunct w:val="0"/>
              <w:jc w:val="center"/>
              <w:rPr>
                <w:rFonts w:ascii="Times New Roman" w:hAnsi="Times New Roman"/>
                <w:sz w:val="18"/>
                <w:szCs w:val="18"/>
              </w:rPr>
            </w:pPr>
          </w:p>
        </w:tc>
      </w:tr>
      <w:tr w14:paraId="2965EB6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restart"/>
            <w:tcBorders>
              <w:top w:val="single" w:color="auto" w:sz="4" w:space="0"/>
              <w:right w:val="single" w:color="auto" w:sz="4" w:space="0"/>
              <w:tl2br w:val="nil"/>
              <w:tr2bl w:val="nil"/>
            </w:tcBorders>
            <w:vAlign w:val="center"/>
          </w:tcPr>
          <w:p w14:paraId="33930421">
            <w:pPr>
              <w:overflowPunct w:val="0"/>
              <w:jc w:val="center"/>
              <w:rPr>
                <w:rFonts w:ascii="Times New Roman" w:hAnsi="Times New Roman"/>
                <w:sz w:val="18"/>
                <w:szCs w:val="18"/>
              </w:rPr>
            </w:pPr>
            <w:r>
              <w:rPr>
                <w:rFonts w:hint="eastAsia" w:ascii="Times New Roman" w:hAnsi="Times New Roman"/>
                <w:sz w:val="18"/>
                <w:szCs w:val="18"/>
              </w:rPr>
              <w:t>外墙（包括非透光幕墙）</w:t>
            </w:r>
          </w:p>
        </w:tc>
        <w:tc>
          <w:tcPr>
            <w:tcW w:w="2016" w:type="dxa"/>
            <w:tcBorders>
              <w:top w:val="single" w:color="auto" w:sz="4" w:space="0"/>
              <w:bottom w:val="single" w:color="auto" w:sz="4" w:space="0"/>
              <w:right w:val="single" w:color="auto" w:sz="4" w:space="0"/>
              <w:tl2br w:val="nil"/>
              <w:tr2bl w:val="nil"/>
            </w:tcBorders>
            <w:vAlign w:val="center"/>
          </w:tcPr>
          <w:p w14:paraId="2B9348BC">
            <w:pPr>
              <w:overflowPunct w:val="0"/>
              <w:jc w:val="center"/>
              <w:rPr>
                <w:rFonts w:ascii="Times New Roman" w:hAnsi="Times New Roman"/>
                <w:sz w:val="18"/>
                <w:szCs w:val="18"/>
              </w:rPr>
            </w:pPr>
            <w:r>
              <w:rPr>
                <w:rFonts w:hint="eastAsia" w:ascii="Times New Roman" w:hAnsi="Times New Roman"/>
                <w:sz w:val="18"/>
                <w:szCs w:val="18"/>
              </w:rPr>
              <w:t>热惰性指标D≤2.5</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7B18F7A6">
            <w:pPr>
              <w:overflowPunct w:val="0"/>
              <w:jc w:val="center"/>
              <w:rPr>
                <w:rFonts w:hint="eastAsia" w:ascii="Times New Roman" w:hAnsi="Times New Roman" w:eastAsia="宋体"/>
                <w:sz w:val="18"/>
                <w:szCs w:val="18"/>
                <w:lang w:eastAsia="zh-CN"/>
              </w:rPr>
            </w:pPr>
            <w:r>
              <w:rPr>
                <w:rFonts w:hint="eastAsia"/>
                <w:sz w:val="18"/>
                <w:szCs w:val="18"/>
                <w:lang w:val="en-US" w:eastAsia="zh-CN"/>
              </w:rPr>
              <w:t>不允许</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6C02AB7">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319F4F4F">
            <w:pPr>
              <w:overflowPunct w:val="0"/>
              <w:jc w:val="center"/>
              <w:rPr>
                <w:rFonts w:ascii="Times New Roman" w:hAnsi="Times New Roman"/>
                <w:sz w:val="18"/>
                <w:szCs w:val="18"/>
              </w:rPr>
            </w:pPr>
            <w:r>
              <w:rPr>
                <w:rFonts w:hint="eastAsia" w:ascii="Times New Roman" w:hAnsi="Times New Roman"/>
                <w:sz w:val="18"/>
                <w:szCs w:val="18"/>
              </w:rPr>
              <w:t>≤0.50</w:t>
            </w:r>
          </w:p>
        </w:tc>
        <w:tc>
          <w:tcPr>
            <w:tcW w:w="1788" w:type="dxa"/>
            <w:gridSpan w:val="2"/>
            <w:tcBorders>
              <w:top w:val="single" w:color="auto" w:sz="4" w:space="0"/>
              <w:left w:val="single" w:color="auto" w:sz="4" w:space="0"/>
              <w:bottom w:val="single" w:color="auto" w:sz="4" w:space="0"/>
              <w:tl2br w:val="nil"/>
              <w:tr2bl w:val="nil"/>
            </w:tcBorders>
            <w:vAlign w:val="center"/>
          </w:tcPr>
          <w:p w14:paraId="3B9D55C6">
            <w:pPr>
              <w:overflowPunct w:val="0"/>
              <w:jc w:val="center"/>
              <w:rPr>
                <w:rFonts w:ascii="Times New Roman" w:hAnsi="Times New Roman"/>
                <w:sz w:val="18"/>
                <w:szCs w:val="18"/>
              </w:rPr>
            </w:pPr>
            <w:r>
              <w:rPr>
                <w:rFonts w:hint="eastAsia" w:ascii="Times New Roman" w:hAnsi="Times New Roman"/>
                <w:sz w:val="18"/>
                <w:szCs w:val="18"/>
              </w:rPr>
              <w:t>—</w:t>
            </w:r>
          </w:p>
        </w:tc>
      </w:tr>
      <w:tr w14:paraId="3119E64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bottom w:val="single" w:color="auto" w:sz="4" w:space="0"/>
              <w:right w:val="single" w:color="auto" w:sz="4" w:space="0"/>
              <w:tl2br w:val="nil"/>
              <w:tr2bl w:val="nil"/>
            </w:tcBorders>
            <w:vAlign w:val="center"/>
          </w:tcPr>
          <w:p w14:paraId="04ED3400">
            <w:pPr>
              <w:overflowPunct w:val="0"/>
              <w:jc w:val="center"/>
              <w:rPr>
                <w:rFonts w:ascii="Times New Roman" w:hAnsi="Times New Roman"/>
                <w:sz w:val="18"/>
                <w:szCs w:val="18"/>
              </w:rPr>
            </w:pPr>
          </w:p>
        </w:tc>
        <w:tc>
          <w:tcPr>
            <w:tcW w:w="2016" w:type="dxa"/>
            <w:tcBorders>
              <w:top w:val="single" w:color="auto" w:sz="4" w:space="0"/>
              <w:bottom w:val="single" w:color="auto" w:sz="4" w:space="0"/>
              <w:right w:val="single" w:color="auto" w:sz="4" w:space="0"/>
              <w:tl2br w:val="nil"/>
              <w:tr2bl w:val="nil"/>
            </w:tcBorders>
            <w:vAlign w:val="center"/>
          </w:tcPr>
          <w:p w14:paraId="7919DBA2">
            <w:pPr>
              <w:overflowPunct w:val="0"/>
              <w:jc w:val="center"/>
              <w:rPr>
                <w:rFonts w:ascii="Times New Roman" w:hAnsi="Times New Roman"/>
                <w:sz w:val="18"/>
                <w:szCs w:val="18"/>
              </w:rPr>
            </w:pPr>
            <w:r>
              <w:rPr>
                <w:rFonts w:hint="eastAsia" w:ascii="Times New Roman" w:hAnsi="Times New Roman"/>
                <w:sz w:val="18"/>
                <w:szCs w:val="18"/>
              </w:rPr>
              <w:t>热惰性指标D＞2.5</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42CD8489">
            <w:pPr>
              <w:overflowPunct w:val="0"/>
              <w:jc w:val="center"/>
              <w:rPr>
                <w:rFonts w:hint="eastAsia"/>
                <w:sz w:val="18"/>
                <w:szCs w:val="18"/>
                <w:lang w:eastAsia="zh-CN"/>
              </w:rPr>
            </w:pPr>
            <w:r>
              <w:rPr>
                <w:rFonts w:hint="eastAsia" w:ascii="Times New Roman" w:hAnsi="Times New Roman"/>
                <w:sz w:val="18"/>
                <w:szCs w:val="18"/>
              </w:rPr>
              <w:t>≤0.60</w:t>
            </w:r>
            <w:r>
              <w:rPr>
                <w:rFonts w:hint="eastAsia"/>
                <w:sz w:val="18"/>
                <w:szCs w:val="18"/>
                <w:lang w:eastAsia="zh-CN"/>
              </w:rPr>
              <w:t>（</w:t>
            </w:r>
            <w:r>
              <w:rPr>
                <w:rFonts w:hint="eastAsia"/>
                <w:sz w:val="18"/>
                <w:szCs w:val="18"/>
                <w:lang w:val="en-US" w:eastAsia="zh-CN"/>
              </w:rPr>
              <w:t>东西向</w:t>
            </w:r>
            <w:r>
              <w:rPr>
                <w:rFonts w:hint="eastAsia"/>
                <w:sz w:val="18"/>
                <w:szCs w:val="18"/>
                <w:lang w:eastAsia="zh-CN"/>
              </w:rPr>
              <w:t>）</w:t>
            </w:r>
          </w:p>
          <w:p w14:paraId="24FDFA72">
            <w:pPr>
              <w:overflowPunct w:val="0"/>
              <w:jc w:val="center"/>
              <w:rPr>
                <w:rFonts w:hint="default"/>
                <w:sz w:val="18"/>
                <w:szCs w:val="18"/>
                <w:lang w:val="en-US" w:eastAsia="zh-CN"/>
              </w:rPr>
            </w:pPr>
            <w:r>
              <w:rPr>
                <w:rFonts w:hint="eastAsia"/>
                <w:sz w:val="18"/>
                <w:szCs w:val="18"/>
                <w:lang w:val="en-US" w:eastAsia="zh-CN"/>
              </w:rPr>
              <w:t>≤0.80（南北向）</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CE3CA1A">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7F80BA53">
            <w:pPr>
              <w:overflowPunct w:val="0"/>
              <w:jc w:val="center"/>
              <w:rPr>
                <w:rFonts w:ascii="Times New Roman" w:hAnsi="Times New Roman"/>
                <w:sz w:val="18"/>
                <w:szCs w:val="18"/>
              </w:rPr>
            </w:pPr>
            <w:r>
              <w:rPr>
                <w:rFonts w:hint="eastAsia" w:ascii="Times New Roman" w:hAnsi="Times New Roman"/>
                <w:sz w:val="18"/>
                <w:szCs w:val="18"/>
              </w:rPr>
              <w:t>≤0.60</w:t>
            </w:r>
          </w:p>
        </w:tc>
        <w:tc>
          <w:tcPr>
            <w:tcW w:w="1788" w:type="dxa"/>
            <w:gridSpan w:val="2"/>
            <w:tcBorders>
              <w:top w:val="single" w:color="auto" w:sz="4" w:space="0"/>
              <w:left w:val="single" w:color="auto" w:sz="4" w:space="0"/>
              <w:bottom w:val="single" w:color="auto" w:sz="4" w:space="0"/>
              <w:tl2br w:val="nil"/>
              <w:tr2bl w:val="nil"/>
            </w:tcBorders>
            <w:vAlign w:val="center"/>
          </w:tcPr>
          <w:p w14:paraId="3C22C881">
            <w:pPr>
              <w:overflowPunct w:val="0"/>
              <w:jc w:val="center"/>
              <w:rPr>
                <w:rFonts w:ascii="Times New Roman" w:hAnsi="Times New Roman"/>
                <w:sz w:val="18"/>
                <w:szCs w:val="18"/>
              </w:rPr>
            </w:pPr>
            <w:r>
              <w:rPr>
                <w:rFonts w:hint="eastAsia" w:ascii="Times New Roman" w:hAnsi="Times New Roman"/>
                <w:sz w:val="18"/>
                <w:szCs w:val="18"/>
              </w:rPr>
              <w:t>—</w:t>
            </w:r>
          </w:p>
        </w:tc>
      </w:tr>
      <w:tr w14:paraId="636DB1A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tcBorders>
              <w:top w:val="single" w:color="auto" w:sz="4" w:space="0"/>
              <w:bottom w:val="single" w:color="auto" w:sz="4" w:space="0"/>
              <w:right w:val="single" w:color="auto" w:sz="4" w:space="0"/>
              <w:tl2br w:val="nil"/>
              <w:tr2bl w:val="nil"/>
            </w:tcBorders>
            <w:vAlign w:val="center"/>
          </w:tcPr>
          <w:p w14:paraId="49143D6B">
            <w:pPr>
              <w:overflowPunct w:val="0"/>
              <w:jc w:val="center"/>
              <w:rPr>
                <w:rFonts w:ascii="Times New Roman" w:hAnsi="Times New Roman"/>
                <w:sz w:val="18"/>
                <w:szCs w:val="18"/>
              </w:rPr>
            </w:pPr>
            <w:r>
              <w:rPr>
                <w:rFonts w:hint="eastAsia" w:ascii="Times New Roman" w:hAnsi="Times New Roman"/>
                <w:sz w:val="18"/>
                <w:szCs w:val="18"/>
              </w:rPr>
              <w:t>底面接触室外空气的架空或外挑楼板</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65975FF2">
            <w:pPr>
              <w:overflowPunct w:val="0"/>
              <w:jc w:val="center"/>
              <w:rPr>
                <w:rFonts w:hint="default" w:ascii="Times New Roman" w:hAnsi="Times New Roman" w:eastAsia="宋体"/>
                <w:sz w:val="18"/>
                <w:szCs w:val="18"/>
                <w:lang w:val="en-US" w:eastAsia="zh-CN"/>
              </w:rPr>
            </w:pPr>
            <w:r>
              <w:rPr>
                <w:rFonts w:hint="eastAsia" w:ascii="Times New Roman" w:hAnsi="Times New Roman"/>
                <w:sz w:val="18"/>
                <w:szCs w:val="18"/>
              </w:rPr>
              <w:t>≤</w:t>
            </w:r>
            <w:r>
              <w:rPr>
                <w:rFonts w:hint="eastAsia"/>
                <w:sz w:val="18"/>
                <w:szCs w:val="18"/>
                <w:lang w:val="en-US" w:eastAsia="zh-CN"/>
              </w:rPr>
              <w:t>1.00</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26887FB">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5EF7DF1A">
            <w:pPr>
              <w:overflowPunct w:val="0"/>
              <w:jc w:val="center"/>
              <w:rPr>
                <w:rFonts w:ascii="Times New Roman" w:hAnsi="Times New Roman"/>
                <w:sz w:val="18"/>
                <w:szCs w:val="18"/>
              </w:rPr>
            </w:pPr>
            <w:r>
              <w:rPr>
                <w:rFonts w:hint="eastAsia" w:ascii="Times New Roman" w:hAnsi="Times New Roman"/>
                <w:sz w:val="18"/>
                <w:szCs w:val="18"/>
              </w:rPr>
              <w:t>≤0.60</w:t>
            </w:r>
          </w:p>
        </w:tc>
        <w:tc>
          <w:tcPr>
            <w:tcW w:w="1788" w:type="dxa"/>
            <w:gridSpan w:val="2"/>
            <w:tcBorders>
              <w:top w:val="single" w:color="auto" w:sz="4" w:space="0"/>
              <w:left w:val="single" w:color="auto" w:sz="4" w:space="0"/>
              <w:bottom w:val="single" w:color="auto" w:sz="4" w:space="0"/>
              <w:tl2br w:val="nil"/>
              <w:tr2bl w:val="nil"/>
            </w:tcBorders>
            <w:vAlign w:val="center"/>
          </w:tcPr>
          <w:p w14:paraId="4220BC1F">
            <w:pPr>
              <w:overflowPunct w:val="0"/>
              <w:jc w:val="center"/>
              <w:rPr>
                <w:rFonts w:ascii="Times New Roman" w:hAnsi="Times New Roman"/>
                <w:sz w:val="18"/>
                <w:szCs w:val="18"/>
              </w:rPr>
            </w:pPr>
            <w:r>
              <w:rPr>
                <w:rFonts w:hint="eastAsia" w:ascii="Times New Roman" w:hAnsi="Times New Roman"/>
                <w:sz w:val="18"/>
                <w:szCs w:val="18"/>
              </w:rPr>
              <w:t>—</w:t>
            </w:r>
          </w:p>
        </w:tc>
      </w:tr>
      <w:tr w14:paraId="06E40D9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tcBorders>
              <w:top w:val="single" w:color="auto" w:sz="4" w:space="0"/>
              <w:bottom w:val="single" w:color="auto" w:sz="4" w:space="0"/>
              <w:right w:val="single" w:color="auto" w:sz="4" w:space="0"/>
              <w:tl2br w:val="nil"/>
              <w:tr2bl w:val="nil"/>
            </w:tcBorders>
            <w:vAlign w:val="center"/>
          </w:tcPr>
          <w:p w14:paraId="62E43242">
            <w:pPr>
              <w:overflowPunct w:val="0"/>
              <w:jc w:val="center"/>
              <w:rPr>
                <w:rFonts w:hint="default" w:ascii="Times New Roman" w:hAnsi="Times New Roman" w:eastAsia="宋体"/>
                <w:sz w:val="18"/>
                <w:szCs w:val="18"/>
                <w:lang w:val="en-US" w:eastAsia="zh-CN"/>
              </w:rPr>
            </w:pPr>
            <w:r>
              <w:rPr>
                <w:rFonts w:hint="eastAsia"/>
                <w:sz w:val="18"/>
                <w:szCs w:val="18"/>
                <w:lang w:val="en-US" w:eastAsia="zh-CN"/>
              </w:rPr>
              <w:t>分层楼板</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7653388C">
            <w:pPr>
              <w:overflowPunct w:val="0"/>
              <w:jc w:val="center"/>
              <w:rPr>
                <w:rFonts w:hint="default" w:ascii="Times New Roman" w:hAnsi="Times New Roman"/>
                <w:sz w:val="18"/>
                <w:szCs w:val="18"/>
                <w:lang w:val="en-US"/>
              </w:rPr>
            </w:pPr>
            <w:r>
              <w:rPr>
                <w:rFonts w:hint="eastAsia" w:ascii="Times New Roman" w:hAnsi="Times New Roman"/>
                <w:sz w:val="18"/>
                <w:szCs w:val="18"/>
              </w:rPr>
              <w:t>≤</w:t>
            </w:r>
            <w:r>
              <w:rPr>
                <w:rFonts w:hint="eastAsia"/>
                <w:sz w:val="18"/>
                <w:szCs w:val="18"/>
                <w:lang w:val="en-US" w:eastAsia="zh-CN"/>
              </w:rPr>
              <w:t>1.80</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56FCC15">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2F3D1FE6">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788" w:type="dxa"/>
            <w:gridSpan w:val="2"/>
            <w:tcBorders>
              <w:top w:val="single" w:color="auto" w:sz="4" w:space="0"/>
              <w:left w:val="single" w:color="auto" w:sz="4" w:space="0"/>
              <w:bottom w:val="single" w:color="auto" w:sz="4" w:space="0"/>
              <w:tl2br w:val="nil"/>
              <w:tr2bl w:val="nil"/>
            </w:tcBorders>
            <w:vAlign w:val="center"/>
          </w:tcPr>
          <w:p w14:paraId="60602ED5">
            <w:pPr>
              <w:overflowPunct w:val="0"/>
              <w:jc w:val="center"/>
              <w:rPr>
                <w:rFonts w:hint="eastAsia" w:ascii="Times New Roman" w:hAnsi="Times New Roman"/>
                <w:sz w:val="18"/>
                <w:szCs w:val="18"/>
              </w:rPr>
            </w:pPr>
            <w:r>
              <w:rPr>
                <w:rFonts w:hint="eastAsia" w:ascii="Times New Roman" w:hAnsi="Times New Roman"/>
                <w:sz w:val="18"/>
                <w:szCs w:val="18"/>
              </w:rPr>
              <w:t>—</w:t>
            </w:r>
          </w:p>
        </w:tc>
      </w:tr>
      <w:tr w14:paraId="5CDEE4C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tcBorders>
              <w:top w:val="single" w:color="auto" w:sz="4" w:space="0"/>
              <w:bottom w:val="single" w:color="auto" w:sz="4" w:space="0"/>
              <w:right w:val="single" w:color="auto" w:sz="4" w:space="0"/>
              <w:tl2br w:val="nil"/>
              <w:tr2bl w:val="nil"/>
            </w:tcBorders>
            <w:vAlign w:val="center"/>
          </w:tcPr>
          <w:p w14:paraId="75F0472B">
            <w:pPr>
              <w:overflowPunct w:val="0"/>
              <w:jc w:val="center"/>
              <w:rPr>
                <w:rFonts w:ascii="Times New Roman" w:hAnsi="Times New Roman"/>
                <w:sz w:val="18"/>
                <w:szCs w:val="18"/>
              </w:rPr>
            </w:pPr>
            <w:r>
              <w:rPr>
                <w:rFonts w:hint="eastAsia" w:ascii="Times New Roman" w:hAnsi="Times New Roman"/>
                <w:sz w:val="18"/>
                <w:szCs w:val="18"/>
              </w:rPr>
              <w:t>非供暖楼梯间与供暖房间之间的隔墙</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56EB7BB4">
            <w:pPr>
              <w:overflowPunct w:val="0"/>
              <w:jc w:val="center"/>
              <w:rPr>
                <w:rFonts w:ascii="Times New Roman" w:hAnsi="Times New Roman"/>
                <w:sz w:val="18"/>
                <w:szCs w:val="18"/>
              </w:rPr>
            </w:pPr>
            <w:r>
              <w:rPr>
                <w:rFonts w:hint="eastAsia" w:ascii="Times New Roman" w:hAnsi="Times New Roman"/>
                <w:sz w:val="18"/>
                <w:szCs w:val="18"/>
              </w:rPr>
              <w:t>≤1.50</w:t>
            </w:r>
          </w:p>
        </w:tc>
        <w:tc>
          <w:tcPr>
            <w:tcW w:w="191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52607CA">
            <w:pPr>
              <w:overflowPunct w:val="0"/>
              <w:jc w:val="center"/>
              <w:rPr>
                <w:rFonts w:hint="eastAsia" w:ascii="Times New Roman" w:hAnsi="Times New Roman"/>
                <w:sz w:val="18"/>
                <w:szCs w:val="18"/>
              </w:rPr>
            </w:pPr>
            <w:r>
              <w:rPr>
                <w:rFonts w:hint="eastAsia" w:ascii="Times New Roman" w:hAns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76873747">
            <w:pPr>
              <w:overflowPunct w:val="0"/>
              <w:jc w:val="center"/>
              <w:rPr>
                <w:rFonts w:ascii="Times New Roman" w:hAnsi="Times New Roman"/>
                <w:sz w:val="18"/>
                <w:szCs w:val="18"/>
              </w:rPr>
            </w:pPr>
            <w:r>
              <w:rPr>
                <w:rFonts w:hint="eastAsia" w:ascii="Times New Roman" w:hAnsi="Times New Roman"/>
                <w:sz w:val="18"/>
                <w:szCs w:val="18"/>
              </w:rPr>
              <w:t>≤1.50</w:t>
            </w:r>
          </w:p>
        </w:tc>
        <w:tc>
          <w:tcPr>
            <w:tcW w:w="1788" w:type="dxa"/>
            <w:gridSpan w:val="2"/>
            <w:tcBorders>
              <w:top w:val="single" w:color="auto" w:sz="4" w:space="0"/>
              <w:left w:val="single" w:color="auto" w:sz="4" w:space="0"/>
              <w:bottom w:val="single" w:color="auto" w:sz="4" w:space="0"/>
              <w:tl2br w:val="nil"/>
              <w:tr2bl w:val="nil"/>
            </w:tcBorders>
            <w:vAlign w:val="center"/>
          </w:tcPr>
          <w:p w14:paraId="28ECBC1A">
            <w:pPr>
              <w:overflowPunct w:val="0"/>
              <w:jc w:val="center"/>
              <w:rPr>
                <w:rFonts w:ascii="Times New Roman" w:hAnsi="Times New Roman"/>
                <w:sz w:val="18"/>
                <w:szCs w:val="18"/>
              </w:rPr>
            </w:pPr>
            <w:r>
              <w:rPr>
                <w:rFonts w:hint="eastAsia" w:ascii="Times New Roman" w:hAnsi="Times New Roman"/>
                <w:sz w:val="18"/>
                <w:szCs w:val="18"/>
              </w:rPr>
              <w:t>—</w:t>
            </w:r>
          </w:p>
        </w:tc>
      </w:tr>
      <w:tr w14:paraId="22ACDE4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trHeight w:val="284" w:hRule="atLeast"/>
          <w:jc w:val="center"/>
        </w:trPr>
        <w:tc>
          <w:tcPr>
            <w:tcW w:w="1283" w:type="dxa"/>
            <w:vMerge w:val="restart"/>
            <w:tcBorders>
              <w:top w:val="single" w:color="auto" w:sz="4" w:space="0"/>
              <w:bottom w:val="single" w:color="auto" w:sz="4" w:space="0"/>
              <w:right w:val="single" w:color="auto" w:sz="4" w:space="0"/>
              <w:tl2br w:val="nil"/>
              <w:tr2bl w:val="nil"/>
            </w:tcBorders>
            <w:vAlign w:val="center"/>
          </w:tcPr>
          <w:p w14:paraId="705CDCC9">
            <w:pPr>
              <w:overflowPunct w:val="0"/>
              <w:jc w:val="center"/>
              <w:rPr>
                <w:rFonts w:ascii="Times New Roman" w:hAnsi="Times New Roman"/>
                <w:sz w:val="18"/>
                <w:szCs w:val="18"/>
              </w:rPr>
            </w:pPr>
            <w:r>
              <w:rPr>
                <w:rFonts w:hint="eastAsia" w:ascii="Times New Roman" w:hAnsi="Times New Roman"/>
                <w:sz w:val="18"/>
                <w:szCs w:val="18"/>
              </w:rPr>
              <w:t>单一立面外窗</w:t>
            </w:r>
          </w:p>
          <w:p w14:paraId="7EEBB195">
            <w:pPr>
              <w:overflowPunct w:val="0"/>
              <w:jc w:val="center"/>
              <w:rPr>
                <w:rFonts w:ascii="Times New Roman" w:hAnsi="Times New Roman"/>
                <w:sz w:val="18"/>
                <w:szCs w:val="18"/>
              </w:rPr>
            </w:pPr>
            <w:r>
              <w:rPr>
                <w:rFonts w:hint="eastAsia" w:ascii="Times New Roman" w:hAnsi="Times New Roman"/>
                <w:sz w:val="18"/>
                <w:szCs w:val="18"/>
              </w:rPr>
              <w:t>（包括透光</w:t>
            </w:r>
          </w:p>
          <w:p w14:paraId="1EDF5668">
            <w:pPr>
              <w:overflowPunct w:val="0"/>
              <w:jc w:val="center"/>
              <w:rPr>
                <w:rFonts w:ascii="Times New Roman" w:hAnsi="Times New Roman"/>
                <w:sz w:val="18"/>
                <w:szCs w:val="18"/>
              </w:rPr>
            </w:pPr>
            <w:r>
              <w:rPr>
                <w:rFonts w:hint="eastAsia" w:ascii="Times New Roman" w:hAnsi="Times New Roman"/>
                <w:sz w:val="18"/>
                <w:szCs w:val="18"/>
              </w:rPr>
              <w:t>幕墙）</w:t>
            </w:r>
          </w:p>
        </w:tc>
        <w:tc>
          <w:tcPr>
            <w:tcW w:w="2016" w:type="dxa"/>
            <w:tcBorders>
              <w:top w:val="single" w:color="auto" w:sz="4" w:space="0"/>
              <w:left w:val="single" w:color="auto" w:sz="4" w:space="0"/>
              <w:bottom w:val="single" w:color="auto" w:sz="4" w:space="0"/>
              <w:right w:val="single" w:color="auto" w:sz="4" w:space="0"/>
              <w:tl2br w:val="nil"/>
              <w:tr2bl w:val="nil"/>
            </w:tcBorders>
            <w:vAlign w:val="center"/>
          </w:tcPr>
          <w:p w14:paraId="3A7D33B2">
            <w:pPr>
              <w:overflowPunct w:val="0"/>
              <w:jc w:val="center"/>
              <w:rPr>
                <w:rFonts w:ascii="Times New Roman" w:hAnsi="Times New Roman"/>
                <w:sz w:val="18"/>
                <w:szCs w:val="18"/>
              </w:rPr>
            </w:pPr>
            <w:r>
              <w:rPr>
                <w:rFonts w:hint="eastAsia" w:ascii="Times New Roman" w:hAnsi="Times New Roman"/>
                <w:sz w:val="18"/>
                <w:szCs w:val="18"/>
              </w:rPr>
              <w:t>窗墙面积比≤0.20</w:t>
            </w:r>
          </w:p>
        </w:tc>
        <w:tc>
          <w:tcPr>
            <w:tcW w:w="1392" w:type="dxa"/>
            <w:vMerge w:val="restart"/>
            <w:tcBorders>
              <w:top w:val="single" w:color="auto" w:sz="4" w:space="0"/>
              <w:left w:val="single" w:color="auto" w:sz="4" w:space="0"/>
              <w:right w:val="single" w:color="auto" w:sz="4" w:space="0"/>
              <w:tl2br w:val="nil"/>
              <w:tr2bl w:val="nil"/>
            </w:tcBorders>
            <w:vAlign w:val="center"/>
          </w:tcPr>
          <w:p w14:paraId="48E55E4A">
            <w:pPr>
              <w:overflowPunct w:val="0"/>
              <w:jc w:val="center"/>
              <w:rPr>
                <w:rFonts w:ascii="Times New Roman" w:hAnsi="Times New Roman"/>
                <w:sz w:val="18"/>
                <w:szCs w:val="18"/>
              </w:rPr>
            </w:pPr>
            <w:r>
              <w:rPr>
                <w:rFonts w:hint="eastAsia" w:ascii="Times New Roman" w:hAnsi="Times New Roman"/>
                <w:sz w:val="18"/>
                <w:szCs w:val="18"/>
              </w:rPr>
              <w:t>≤</w:t>
            </w:r>
            <w:r>
              <w:rPr>
                <w:rFonts w:hint="eastAsia"/>
                <w:sz w:val="18"/>
                <w:szCs w:val="18"/>
                <w:lang w:val="en-US" w:eastAsia="zh-CN"/>
              </w:rPr>
              <w:t>1.8</w:t>
            </w:r>
            <w:r>
              <w:rPr>
                <w:rFonts w:hint="eastAsia" w:ascii="Times New Roman" w:hAnsi="Times New Roman"/>
                <w:sz w:val="18"/>
                <w:szCs w:val="18"/>
              </w:rPr>
              <w:t>0</w:t>
            </w:r>
          </w:p>
        </w:tc>
        <w:tc>
          <w:tcPr>
            <w:tcW w:w="982" w:type="dxa"/>
            <w:vMerge w:val="restart"/>
            <w:tcBorders>
              <w:top w:val="single" w:color="auto" w:sz="4" w:space="0"/>
              <w:left w:val="single" w:color="auto" w:sz="4" w:space="0"/>
              <w:right w:val="single" w:color="auto" w:sz="4" w:space="0"/>
              <w:tl2br w:val="nil"/>
              <w:tr2bl w:val="nil"/>
            </w:tcBorders>
            <w:vAlign w:val="center"/>
          </w:tcPr>
          <w:p w14:paraId="235FEB50">
            <w:pPr>
              <w:overflowPunct w:val="0"/>
              <w:jc w:val="center"/>
              <w:rPr>
                <w:rFonts w:ascii="Times New Roman"/>
                <w:sz w:val="18"/>
                <w:szCs w:val="18"/>
              </w:rPr>
            </w:pPr>
            <w:r>
              <w:rPr>
                <w:rFonts w:hint="eastAsia" w:hAnsi="宋体" w:cs="宋体"/>
                <w:sz w:val="18"/>
                <w:szCs w:val="18"/>
              </w:rPr>
              <w:t>≤</w:t>
            </w:r>
            <w:r>
              <w:rPr>
                <w:rFonts w:ascii="Times New Roman"/>
                <w:sz w:val="18"/>
                <w:szCs w:val="18"/>
              </w:rPr>
              <w:t>0.3</w:t>
            </w:r>
            <w:r>
              <w:rPr>
                <w:rFonts w:hint="eastAsia" w:ascii="Times New Roman"/>
                <w:sz w:val="18"/>
                <w:szCs w:val="18"/>
              </w:rPr>
              <w:t>0</w:t>
            </w:r>
            <w:r>
              <w:rPr>
                <w:rFonts w:ascii="Times New Roman"/>
                <w:sz w:val="18"/>
                <w:szCs w:val="18"/>
              </w:rPr>
              <w:t>/</w:t>
            </w:r>
          </w:p>
          <w:p w14:paraId="19BE6E55">
            <w:pPr>
              <w:overflowPunct w:val="0"/>
              <w:jc w:val="center"/>
              <w:rPr>
                <w:rFonts w:ascii="Times New Roman" w:hAnsi="Times New Roman"/>
                <w:sz w:val="18"/>
                <w:szCs w:val="18"/>
              </w:rPr>
            </w:pPr>
            <w:r>
              <w:rPr>
                <w:rFonts w:hint="eastAsia" w:hAnsi="宋体" w:cs="宋体"/>
                <w:sz w:val="18"/>
                <w:szCs w:val="18"/>
              </w:rPr>
              <w:t>≤</w:t>
            </w:r>
            <w:r>
              <w:rPr>
                <w:rFonts w:ascii="Times New Roman"/>
                <w:sz w:val="18"/>
                <w:szCs w:val="18"/>
              </w:rPr>
              <w:t>0.2</w:t>
            </w:r>
            <w:r>
              <w:rPr>
                <w:rFonts w:hint="eastAsia" w:ascii="Times New Roman"/>
                <w:sz w:val="18"/>
                <w:szCs w:val="18"/>
              </w:rPr>
              <w:t>5</w:t>
            </w:r>
          </w:p>
        </w:tc>
        <w:tc>
          <w:tcPr>
            <w:tcW w:w="931" w:type="dxa"/>
            <w:vMerge w:val="restart"/>
            <w:tcBorders>
              <w:top w:val="single" w:color="auto" w:sz="4" w:space="0"/>
              <w:left w:val="single" w:color="auto" w:sz="4" w:space="0"/>
              <w:right w:val="single" w:color="auto" w:sz="4" w:space="0"/>
              <w:tl2br w:val="nil"/>
              <w:tr2bl w:val="nil"/>
            </w:tcBorders>
            <w:vAlign w:val="center"/>
          </w:tcPr>
          <w:p w14:paraId="0E78DEC4">
            <w:pPr>
              <w:overflowPunct w:val="0"/>
              <w:jc w:val="center"/>
              <w:rPr>
                <w:rFonts w:hint="eastAsia" w:ascii="Times New Roman" w:hAnsi="Times New Roman" w:eastAsia="宋体"/>
                <w:sz w:val="18"/>
                <w:szCs w:val="18"/>
                <w:lang w:eastAsia="zh-CN"/>
              </w:rPr>
            </w:pPr>
            <w:r>
              <w:rPr>
                <w:rFonts w:hint="eastAsia"/>
                <w:sz w:val="18"/>
                <w:szCs w:val="18"/>
                <w:lang w:eastAsia="zh-CN"/>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1303B0EB">
            <w:pPr>
              <w:overflowPunct w:val="0"/>
              <w:jc w:val="center"/>
              <w:rPr>
                <w:rFonts w:ascii="Times New Roman" w:hAnsi="Times New Roman"/>
                <w:sz w:val="18"/>
                <w:szCs w:val="18"/>
              </w:rPr>
            </w:pPr>
            <w:r>
              <w:rPr>
                <w:rFonts w:hint="eastAsia" w:ascii="Times New Roman" w:hAnsi="Times New Roman"/>
                <w:sz w:val="18"/>
                <w:szCs w:val="18"/>
              </w:rPr>
              <w:t>≤2.00</w:t>
            </w:r>
          </w:p>
        </w:tc>
        <w:tc>
          <w:tcPr>
            <w:tcW w:w="1041" w:type="dxa"/>
            <w:tcBorders>
              <w:top w:val="single" w:color="auto" w:sz="4" w:space="0"/>
              <w:left w:val="single" w:color="auto" w:sz="4" w:space="0"/>
              <w:bottom w:val="single" w:color="auto" w:sz="4" w:space="0"/>
              <w:tl2br w:val="nil"/>
              <w:tr2bl w:val="nil"/>
            </w:tcBorders>
            <w:vAlign w:val="center"/>
          </w:tcPr>
          <w:p w14:paraId="0CF13377">
            <w:pPr>
              <w:overflowPunct w:val="0"/>
              <w:jc w:val="center"/>
              <w:rPr>
                <w:rFonts w:ascii="Times New Roman" w:hAnsi="Times New Roman"/>
                <w:sz w:val="18"/>
                <w:szCs w:val="18"/>
              </w:rPr>
            </w:pPr>
            <w:r>
              <w:rPr>
                <w:rFonts w:hint="eastAsia" w:ascii="Times New Roman" w:hAnsi="Times New Roman"/>
                <w:sz w:val="18"/>
                <w:szCs w:val="18"/>
              </w:rPr>
              <w:t>≤0.40</w:t>
            </w:r>
          </w:p>
        </w:tc>
        <w:tc>
          <w:tcPr>
            <w:tcW w:w="747" w:type="dxa"/>
            <w:vMerge w:val="restart"/>
            <w:tcBorders>
              <w:top w:val="single" w:color="auto" w:sz="4" w:space="0"/>
              <w:left w:val="single" w:color="auto" w:sz="4" w:space="0"/>
              <w:tl2br w:val="nil"/>
              <w:tr2bl w:val="nil"/>
            </w:tcBorders>
            <w:vAlign w:val="center"/>
          </w:tcPr>
          <w:p w14:paraId="4A48327F">
            <w:pPr>
              <w:overflowPunct w:val="0"/>
              <w:jc w:val="center"/>
              <w:rPr>
                <w:rFonts w:hint="eastAsia" w:ascii="Times New Roman" w:hAnsi="Times New Roman"/>
                <w:sz w:val="18"/>
                <w:szCs w:val="18"/>
              </w:rPr>
            </w:pPr>
            <w:r>
              <w:rPr>
                <w:rFonts w:hint="eastAsia"/>
                <w:sz w:val="18"/>
                <w:szCs w:val="18"/>
                <w:lang w:val="en-US" w:eastAsia="zh-CN"/>
              </w:rPr>
              <w:t>≥</w:t>
            </w:r>
            <w:r>
              <w:rPr>
                <w:rFonts w:hint="eastAsia" w:ascii="Times New Roman" w:hAnsi="Times New Roman"/>
                <w:sz w:val="18"/>
                <w:szCs w:val="18"/>
              </w:rPr>
              <w:t>0.40</w:t>
            </w:r>
          </w:p>
        </w:tc>
      </w:tr>
      <w:tr w14:paraId="4FF59D7A">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top w:val="single" w:color="auto" w:sz="4" w:space="0"/>
              <w:bottom w:val="single" w:color="auto" w:sz="4" w:space="0"/>
              <w:right w:val="single" w:color="auto" w:sz="4" w:space="0"/>
              <w:tl2br w:val="nil"/>
              <w:tr2bl w:val="nil"/>
            </w:tcBorders>
            <w:vAlign w:val="center"/>
          </w:tcPr>
          <w:p w14:paraId="4F553AB6">
            <w:pPr>
              <w:overflowPunct w:val="0"/>
              <w:jc w:val="center"/>
              <w:rPr>
                <w:rFonts w:ascii="Times New Roman" w:hAnsi="Times New Roman"/>
                <w:sz w:val="18"/>
                <w:szCs w:val="18"/>
              </w:rPr>
            </w:pPr>
          </w:p>
        </w:tc>
        <w:tc>
          <w:tcPr>
            <w:tcW w:w="2016" w:type="dxa"/>
            <w:tcBorders>
              <w:top w:val="single" w:color="auto" w:sz="4" w:space="0"/>
              <w:left w:val="single" w:color="auto" w:sz="4" w:space="0"/>
              <w:bottom w:val="single" w:color="auto" w:sz="4" w:space="0"/>
              <w:right w:val="single" w:color="auto" w:sz="4" w:space="0"/>
              <w:tl2br w:val="nil"/>
              <w:tr2bl w:val="nil"/>
            </w:tcBorders>
            <w:vAlign w:val="center"/>
          </w:tcPr>
          <w:p w14:paraId="531CF69A">
            <w:pPr>
              <w:overflowPunct w:val="0"/>
              <w:jc w:val="center"/>
              <w:rPr>
                <w:rFonts w:ascii="Times New Roman" w:hAnsi="Times New Roman"/>
                <w:sz w:val="18"/>
                <w:szCs w:val="18"/>
              </w:rPr>
            </w:pPr>
            <w:r>
              <w:rPr>
                <w:rFonts w:hint="eastAsia" w:ascii="Times New Roman" w:hAnsi="Times New Roman"/>
                <w:sz w:val="18"/>
                <w:szCs w:val="18"/>
              </w:rPr>
              <w:t>0.20＜窗墙面积比≤0.30</w:t>
            </w:r>
          </w:p>
        </w:tc>
        <w:tc>
          <w:tcPr>
            <w:tcW w:w="1392" w:type="dxa"/>
            <w:vMerge w:val="continue"/>
            <w:tcBorders>
              <w:left w:val="single" w:color="auto" w:sz="4" w:space="0"/>
              <w:bottom w:val="single" w:color="auto" w:sz="4" w:space="0"/>
              <w:right w:val="single" w:color="auto" w:sz="4" w:space="0"/>
              <w:tl2br w:val="nil"/>
              <w:tr2bl w:val="nil"/>
            </w:tcBorders>
            <w:vAlign w:val="center"/>
          </w:tcPr>
          <w:p w14:paraId="556DCB33">
            <w:pPr>
              <w:overflowPunct w:val="0"/>
              <w:jc w:val="center"/>
              <w:rPr>
                <w:rFonts w:ascii="Times New Roman" w:hAnsi="Times New Roman"/>
                <w:sz w:val="18"/>
                <w:szCs w:val="18"/>
              </w:rPr>
            </w:pPr>
          </w:p>
        </w:tc>
        <w:tc>
          <w:tcPr>
            <w:tcW w:w="982" w:type="dxa"/>
            <w:vMerge w:val="continue"/>
            <w:tcBorders>
              <w:left w:val="single" w:color="auto" w:sz="4" w:space="0"/>
              <w:bottom w:val="single" w:color="auto" w:sz="4" w:space="0"/>
              <w:right w:val="single" w:color="auto" w:sz="4" w:space="0"/>
              <w:tl2br w:val="nil"/>
              <w:tr2bl w:val="nil"/>
            </w:tcBorders>
            <w:vAlign w:val="center"/>
          </w:tcPr>
          <w:p w14:paraId="6E7C3F98">
            <w:pPr>
              <w:overflowPunct w:val="0"/>
              <w:jc w:val="center"/>
              <w:rPr>
                <w:rFonts w:ascii="Times New Roman" w:hAnsi="Times New Roman"/>
                <w:sz w:val="18"/>
                <w:szCs w:val="18"/>
              </w:rPr>
            </w:pPr>
          </w:p>
        </w:tc>
        <w:tc>
          <w:tcPr>
            <w:tcW w:w="931" w:type="dxa"/>
            <w:vMerge w:val="continue"/>
            <w:tcBorders>
              <w:left w:val="single" w:color="auto" w:sz="4" w:space="0"/>
              <w:bottom w:val="single" w:color="auto" w:sz="4" w:space="0"/>
              <w:right w:val="single" w:color="auto" w:sz="4" w:space="0"/>
              <w:tl2br w:val="nil"/>
              <w:tr2bl w:val="nil"/>
            </w:tcBorders>
            <w:vAlign w:val="center"/>
          </w:tcPr>
          <w:p w14:paraId="4A7A2BE1">
            <w:pPr>
              <w:overflowPunct w:val="0"/>
              <w:jc w:val="center"/>
              <w:rPr>
                <w:rFonts w:hint="eastAsia" w:ascii="Times New Roman" w:hAnsi="Times New Roman"/>
                <w:sz w:val="18"/>
                <w:szCs w:val="18"/>
              </w:rPr>
            </w:pP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76E4A76E">
            <w:pPr>
              <w:overflowPunct w:val="0"/>
              <w:jc w:val="center"/>
              <w:rPr>
                <w:rFonts w:ascii="Times New Roman" w:hAnsi="Times New Roman"/>
                <w:sz w:val="18"/>
                <w:szCs w:val="18"/>
              </w:rPr>
            </w:pPr>
            <w:r>
              <w:rPr>
                <w:rFonts w:hint="eastAsia" w:ascii="Times New Roman" w:hAnsi="Times New Roman"/>
                <w:sz w:val="18"/>
                <w:szCs w:val="18"/>
              </w:rPr>
              <w:t>≤1.80</w:t>
            </w:r>
          </w:p>
        </w:tc>
        <w:tc>
          <w:tcPr>
            <w:tcW w:w="1041" w:type="dxa"/>
            <w:tcBorders>
              <w:top w:val="single" w:color="auto" w:sz="4" w:space="0"/>
              <w:left w:val="single" w:color="auto" w:sz="4" w:space="0"/>
              <w:bottom w:val="single" w:color="auto" w:sz="4" w:space="0"/>
              <w:tl2br w:val="nil"/>
              <w:tr2bl w:val="nil"/>
            </w:tcBorders>
            <w:vAlign w:val="center"/>
          </w:tcPr>
          <w:p w14:paraId="48168E56">
            <w:pPr>
              <w:overflowPunct w:val="0"/>
              <w:jc w:val="center"/>
              <w:rPr>
                <w:rFonts w:ascii="Times New Roman" w:hAnsi="Times New Roman"/>
                <w:sz w:val="18"/>
                <w:szCs w:val="18"/>
              </w:rPr>
            </w:pPr>
            <w:r>
              <w:rPr>
                <w:rFonts w:hint="eastAsia" w:ascii="Times New Roman" w:hAnsi="Times New Roman"/>
                <w:sz w:val="18"/>
                <w:szCs w:val="18"/>
              </w:rPr>
              <w:t>≤0.35/0.40</w:t>
            </w:r>
          </w:p>
        </w:tc>
        <w:tc>
          <w:tcPr>
            <w:tcW w:w="747" w:type="dxa"/>
            <w:vMerge w:val="continue"/>
            <w:tcBorders>
              <w:left w:val="single" w:color="auto" w:sz="4" w:space="0"/>
              <w:tl2br w:val="nil"/>
              <w:tr2bl w:val="nil"/>
            </w:tcBorders>
            <w:vAlign w:val="center"/>
          </w:tcPr>
          <w:p w14:paraId="67C70F29">
            <w:pPr>
              <w:overflowPunct w:val="0"/>
              <w:jc w:val="center"/>
              <w:rPr>
                <w:rFonts w:hint="eastAsia" w:ascii="Times New Roman" w:hAnsi="Times New Roman"/>
                <w:sz w:val="18"/>
                <w:szCs w:val="18"/>
              </w:rPr>
            </w:pPr>
          </w:p>
        </w:tc>
      </w:tr>
      <w:tr w14:paraId="437774A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top w:val="single" w:color="auto" w:sz="4" w:space="0"/>
              <w:bottom w:val="single" w:color="auto" w:sz="4" w:space="0"/>
              <w:right w:val="single" w:color="auto" w:sz="4" w:space="0"/>
              <w:tl2br w:val="nil"/>
              <w:tr2bl w:val="nil"/>
            </w:tcBorders>
            <w:vAlign w:val="center"/>
          </w:tcPr>
          <w:p w14:paraId="1A1BA616">
            <w:pPr>
              <w:overflowPunct w:val="0"/>
              <w:jc w:val="center"/>
              <w:rPr>
                <w:rFonts w:ascii="Times New Roman" w:hAnsi="Times New Roman"/>
                <w:sz w:val="18"/>
                <w:szCs w:val="18"/>
              </w:rPr>
            </w:pPr>
          </w:p>
        </w:tc>
        <w:tc>
          <w:tcPr>
            <w:tcW w:w="2016" w:type="dxa"/>
            <w:tcBorders>
              <w:top w:val="single" w:color="auto" w:sz="4" w:space="0"/>
              <w:left w:val="single" w:color="auto" w:sz="4" w:space="0"/>
              <w:bottom w:val="single" w:color="auto" w:sz="4" w:space="0"/>
              <w:right w:val="single" w:color="auto" w:sz="4" w:space="0"/>
              <w:tl2br w:val="nil"/>
              <w:tr2bl w:val="nil"/>
            </w:tcBorders>
            <w:vAlign w:val="center"/>
          </w:tcPr>
          <w:p w14:paraId="6A6C76B2">
            <w:pPr>
              <w:overflowPunct w:val="0"/>
              <w:jc w:val="center"/>
              <w:rPr>
                <w:rFonts w:ascii="Times New Roman" w:hAnsi="Times New Roman"/>
                <w:sz w:val="18"/>
                <w:szCs w:val="18"/>
              </w:rPr>
            </w:pPr>
            <w:r>
              <w:rPr>
                <w:rFonts w:hint="eastAsia" w:ascii="Times New Roman" w:hAnsi="Times New Roman"/>
                <w:sz w:val="18"/>
                <w:szCs w:val="18"/>
              </w:rPr>
              <w:t>0.30＜窗墙面积比≤0.40</w:t>
            </w:r>
          </w:p>
        </w:tc>
        <w:tc>
          <w:tcPr>
            <w:tcW w:w="1392" w:type="dxa"/>
            <w:tcBorders>
              <w:top w:val="single" w:color="auto" w:sz="4" w:space="0"/>
              <w:left w:val="single" w:color="auto" w:sz="4" w:space="0"/>
              <w:bottom w:val="single" w:color="auto" w:sz="4" w:space="0"/>
              <w:right w:val="single" w:color="auto" w:sz="4" w:space="0"/>
              <w:tl2br w:val="nil"/>
              <w:tr2bl w:val="nil"/>
            </w:tcBorders>
            <w:vAlign w:val="center"/>
          </w:tcPr>
          <w:p w14:paraId="733A0FA3">
            <w:pPr>
              <w:overflowPunct w:val="0"/>
              <w:jc w:val="center"/>
              <w:rPr>
                <w:rFonts w:ascii="Times New Roman" w:hAnsi="Times New Roman"/>
                <w:sz w:val="18"/>
                <w:szCs w:val="18"/>
              </w:rPr>
            </w:pPr>
            <w:r>
              <w:rPr>
                <w:rFonts w:hint="eastAsia" w:ascii="Times New Roman" w:hAnsi="Times New Roman"/>
                <w:sz w:val="18"/>
                <w:szCs w:val="18"/>
              </w:rPr>
              <w:t>≤1.</w:t>
            </w:r>
            <w:r>
              <w:rPr>
                <w:rFonts w:hint="eastAsia"/>
                <w:sz w:val="18"/>
                <w:szCs w:val="18"/>
                <w:lang w:val="en-US" w:eastAsia="zh-CN"/>
              </w:rPr>
              <w:t>6</w:t>
            </w:r>
            <w:r>
              <w:rPr>
                <w:rFonts w:hint="eastAsia" w:ascii="Times New Roman" w:hAnsi="Times New Roman"/>
                <w:sz w:val="18"/>
                <w:szCs w:val="18"/>
              </w:rPr>
              <w:t>0</w:t>
            </w:r>
          </w:p>
        </w:tc>
        <w:tc>
          <w:tcPr>
            <w:tcW w:w="982" w:type="dxa"/>
            <w:tcBorders>
              <w:top w:val="single" w:color="auto" w:sz="4" w:space="0"/>
              <w:left w:val="single" w:color="auto" w:sz="4" w:space="0"/>
              <w:bottom w:val="single" w:color="auto" w:sz="4" w:space="0"/>
              <w:right w:val="single" w:color="auto" w:sz="4" w:space="0"/>
              <w:tl2br w:val="nil"/>
              <w:tr2bl w:val="nil"/>
            </w:tcBorders>
            <w:vAlign w:val="center"/>
          </w:tcPr>
          <w:p w14:paraId="35E87CE2">
            <w:pPr>
              <w:overflowPunct w:val="0"/>
              <w:jc w:val="center"/>
              <w:rPr>
                <w:rFonts w:ascii="Times New Roman" w:hAnsi="Times New Roman"/>
                <w:sz w:val="18"/>
                <w:szCs w:val="18"/>
              </w:rPr>
            </w:pPr>
            <w:r>
              <w:rPr>
                <w:rFonts w:hint="eastAsia" w:hAnsi="宋体" w:cs="宋体"/>
                <w:sz w:val="18"/>
                <w:szCs w:val="18"/>
              </w:rPr>
              <w:t>≤</w:t>
            </w:r>
            <w:r>
              <w:rPr>
                <w:rFonts w:ascii="Times New Roman"/>
                <w:sz w:val="18"/>
                <w:szCs w:val="18"/>
              </w:rPr>
              <w:t>0.2</w:t>
            </w:r>
            <w:r>
              <w:rPr>
                <w:rFonts w:hint="eastAsia" w:ascii="Times New Roman"/>
                <w:sz w:val="18"/>
                <w:szCs w:val="18"/>
              </w:rPr>
              <w:t>5</w:t>
            </w:r>
          </w:p>
        </w:tc>
        <w:tc>
          <w:tcPr>
            <w:tcW w:w="931" w:type="dxa"/>
            <w:tcBorders>
              <w:top w:val="single" w:color="auto" w:sz="4" w:space="0"/>
              <w:left w:val="single" w:color="auto" w:sz="4" w:space="0"/>
              <w:bottom w:val="single" w:color="auto" w:sz="4" w:space="0"/>
              <w:right w:val="single" w:color="auto" w:sz="4" w:space="0"/>
              <w:tl2br w:val="nil"/>
              <w:tr2bl w:val="nil"/>
            </w:tcBorders>
            <w:vAlign w:val="center"/>
          </w:tcPr>
          <w:p w14:paraId="43524814">
            <w:pPr>
              <w:overflowPunct w:val="0"/>
              <w:jc w:val="center"/>
              <w:rPr>
                <w:rFonts w:hint="eastAsia" w:ascii="Times New Roman" w:hAnsi="Times New Roman"/>
                <w:sz w:val="18"/>
                <w:szCs w:val="18"/>
              </w:rPr>
            </w:pPr>
            <w:r>
              <w:rPr>
                <w:rFonts w:hint="eastAsia"/>
                <w:sz w:val="18"/>
                <w:szCs w:val="18"/>
                <w:lang w:eastAsia="zh-CN"/>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5A08B965">
            <w:pPr>
              <w:overflowPunct w:val="0"/>
              <w:jc w:val="center"/>
              <w:rPr>
                <w:rFonts w:ascii="Times New Roman" w:hAnsi="Times New Roman"/>
                <w:sz w:val="18"/>
                <w:szCs w:val="18"/>
              </w:rPr>
            </w:pPr>
            <w:r>
              <w:rPr>
                <w:rFonts w:hint="eastAsia" w:ascii="Times New Roman" w:hAnsi="Times New Roman"/>
                <w:sz w:val="18"/>
                <w:szCs w:val="18"/>
              </w:rPr>
              <w:t>≤1.80</w:t>
            </w:r>
          </w:p>
        </w:tc>
        <w:tc>
          <w:tcPr>
            <w:tcW w:w="1041" w:type="dxa"/>
            <w:tcBorders>
              <w:top w:val="single" w:color="auto" w:sz="4" w:space="0"/>
              <w:left w:val="single" w:color="auto" w:sz="4" w:space="0"/>
              <w:bottom w:val="single" w:color="auto" w:sz="4" w:space="0"/>
              <w:tl2br w:val="nil"/>
              <w:tr2bl w:val="nil"/>
            </w:tcBorders>
            <w:vAlign w:val="center"/>
          </w:tcPr>
          <w:p w14:paraId="4AE9B8B2">
            <w:pPr>
              <w:overflowPunct w:val="0"/>
              <w:jc w:val="center"/>
              <w:rPr>
                <w:rFonts w:ascii="Times New Roman" w:hAnsi="Times New Roman"/>
                <w:sz w:val="18"/>
                <w:szCs w:val="18"/>
              </w:rPr>
            </w:pPr>
            <w:r>
              <w:rPr>
                <w:rFonts w:hint="eastAsia" w:ascii="Times New Roman" w:hAnsi="Times New Roman"/>
                <w:sz w:val="18"/>
                <w:szCs w:val="18"/>
              </w:rPr>
              <w:t>≤0.30/0.35</w:t>
            </w:r>
          </w:p>
        </w:tc>
        <w:tc>
          <w:tcPr>
            <w:tcW w:w="747" w:type="dxa"/>
            <w:vMerge w:val="continue"/>
            <w:tcBorders>
              <w:left w:val="single" w:color="auto" w:sz="4" w:space="0"/>
              <w:tl2br w:val="nil"/>
              <w:tr2bl w:val="nil"/>
            </w:tcBorders>
            <w:vAlign w:val="center"/>
          </w:tcPr>
          <w:p w14:paraId="055AA1F1">
            <w:pPr>
              <w:overflowPunct w:val="0"/>
              <w:jc w:val="center"/>
              <w:rPr>
                <w:rFonts w:hint="eastAsia" w:ascii="Times New Roman" w:hAnsi="Times New Roman"/>
                <w:sz w:val="18"/>
                <w:szCs w:val="18"/>
              </w:rPr>
            </w:pPr>
          </w:p>
        </w:tc>
      </w:tr>
      <w:tr w14:paraId="09934A5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top w:val="single" w:color="auto" w:sz="4" w:space="0"/>
              <w:bottom w:val="single" w:color="auto" w:sz="4" w:space="0"/>
              <w:right w:val="single" w:color="auto" w:sz="4" w:space="0"/>
              <w:tl2br w:val="nil"/>
              <w:tr2bl w:val="nil"/>
            </w:tcBorders>
            <w:vAlign w:val="center"/>
          </w:tcPr>
          <w:p w14:paraId="4B403133">
            <w:pPr>
              <w:overflowPunct w:val="0"/>
              <w:jc w:val="center"/>
              <w:rPr>
                <w:rFonts w:ascii="Times New Roman" w:hAnsi="Times New Roman"/>
                <w:sz w:val="18"/>
                <w:szCs w:val="18"/>
              </w:rPr>
            </w:pPr>
          </w:p>
        </w:tc>
        <w:tc>
          <w:tcPr>
            <w:tcW w:w="2016" w:type="dxa"/>
            <w:tcBorders>
              <w:top w:val="single" w:color="auto" w:sz="4" w:space="0"/>
              <w:left w:val="single" w:color="auto" w:sz="4" w:space="0"/>
              <w:bottom w:val="single" w:color="auto" w:sz="4" w:space="0"/>
              <w:right w:val="single" w:color="auto" w:sz="4" w:space="0"/>
              <w:tl2br w:val="nil"/>
              <w:tr2bl w:val="nil"/>
            </w:tcBorders>
            <w:vAlign w:val="center"/>
          </w:tcPr>
          <w:p w14:paraId="59DC017A">
            <w:pPr>
              <w:overflowPunct w:val="0"/>
              <w:jc w:val="center"/>
              <w:rPr>
                <w:rFonts w:ascii="Times New Roman" w:hAnsi="Times New Roman"/>
                <w:sz w:val="18"/>
                <w:szCs w:val="18"/>
              </w:rPr>
            </w:pPr>
            <w:r>
              <w:rPr>
                <w:rFonts w:hint="eastAsia" w:ascii="Times New Roman" w:hAnsi="Times New Roman"/>
                <w:sz w:val="18"/>
                <w:szCs w:val="18"/>
              </w:rPr>
              <w:t>0.40＜窗墙面积比≤0.50</w:t>
            </w:r>
          </w:p>
        </w:tc>
        <w:tc>
          <w:tcPr>
            <w:tcW w:w="1392" w:type="dxa"/>
            <w:vMerge w:val="restart"/>
            <w:tcBorders>
              <w:top w:val="single" w:color="auto" w:sz="4" w:space="0"/>
              <w:left w:val="single" w:color="auto" w:sz="4" w:space="0"/>
              <w:right w:val="single" w:color="auto" w:sz="4" w:space="0"/>
              <w:tl2br w:val="nil"/>
              <w:tr2bl w:val="nil"/>
            </w:tcBorders>
            <w:vAlign w:val="center"/>
          </w:tcPr>
          <w:p w14:paraId="0103B4C8">
            <w:pPr>
              <w:overflowPunct w:val="0"/>
              <w:jc w:val="center"/>
              <w:rPr>
                <w:rFonts w:ascii="Times New Roman" w:hAnsi="Times New Roman"/>
                <w:sz w:val="18"/>
                <w:szCs w:val="18"/>
              </w:rPr>
            </w:pPr>
            <w:r>
              <w:rPr>
                <w:rFonts w:hint="eastAsia" w:ascii="Times New Roman" w:hAnsi="Times New Roman"/>
                <w:sz w:val="18"/>
                <w:szCs w:val="18"/>
              </w:rPr>
              <w:t>≤1.</w:t>
            </w:r>
            <w:r>
              <w:rPr>
                <w:rFonts w:hint="eastAsia"/>
                <w:sz w:val="18"/>
                <w:szCs w:val="18"/>
                <w:lang w:val="en-US" w:eastAsia="zh-CN"/>
              </w:rPr>
              <w:t>5</w:t>
            </w:r>
            <w:r>
              <w:rPr>
                <w:rFonts w:hint="eastAsia" w:ascii="Times New Roman" w:hAnsi="Times New Roman"/>
                <w:sz w:val="18"/>
                <w:szCs w:val="18"/>
              </w:rPr>
              <w:t>0</w:t>
            </w:r>
          </w:p>
        </w:tc>
        <w:tc>
          <w:tcPr>
            <w:tcW w:w="982" w:type="dxa"/>
            <w:vMerge w:val="restart"/>
            <w:tcBorders>
              <w:top w:val="single" w:color="auto" w:sz="4" w:space="0"/>
              <w:left w:val="single" w:color="auto" w:sz="4" w:space="0"/>
              <w:right w:val="single" w:color="auto" w:sz="4" w:space="0"/>
              <w:tl2br w:val="nil"/>
              <w:tr2bl w:val="nil"/>
            </w:tcBorders>
            <w:vAlign w:val="center"/>
          </w:tcPr>
          <w:p w14:paraId="41F552D8">
            <w:pPr>
              <w:overflowPunct w:val="0"/>
              <w:jc w:val="center"/>
              <w:rPr>
                <w:rFonts w:ascii="Times New Roman" w:hAnsi="Times New Roman"/>
                <w:sz w:val="18"/>
                <w:szCs w:val="18"/>
              </w:rPr>
            </w:pPr>
            <w:r>
              <w:rPr>
                <w:rFonts w:hint="eastAsia" w:hAnsi="宋体" w:cs="宋体"/>
                <w:sz w:val="18"/>
                <w:szCs w:val="18"/>
              </w:rPr>
              <w:t>≤</w:t>
            </w:r>
            <w:r>
              <w:rPr>
                <w:rFonts w:ascii="Times New Roman"/>
                <w:sz w:val="18"/>
                <w:szCs w:val="18"/>
              </w:rPr>
              <w:t>0.</w:t>
            </w:r>
            <w:r>
              <w:rPr>
                <w:rFonts w:hint="eastAsia" w:ascii="Times New Roman"/>
                <w:sz w:val="18"/>
                <w:szCs w:val="18"/>
              </w:rPr>
              <w:t>20</w:t>
            </w:r>
          </w:p>
        </w:tc>
        <w:tc>
          <w:tcPr>
            <w:tcW w:w="931" w:type="dxa"/>
            <w:vMerge w:val="restart"/>
            <w:tcBorders>
              <w:top w:val="single" w:color="auto" w:sz="4" w:space="0"/>
              <w:left w:val="single" w:color="auto" w:sz="4" w:space="0"/>
              <w:right w:val="single" w:color="auto" w:sz="4" w:space="0"/>
              <w:tl2br w:val="nil"/>
              <w:tr2bl w:val="nil"/>
            </w:tcBorders>
            <w:vAlign w:val="center"/>
          </w:tcPr>
          <w:p w14:paraId="6D57976D">
            <w:pPr>
              <w:overflowPunct w:val="0"/>
              <w:jc w:val="center"/>
              <w:rPr>
                <w:rFonts w:hint="eastAsia" w:ascii="Times New Roman" w:hAnsi="Times New Roman"/>
                <w:sz w:val="18"/>
                <w:szCs w:val="18"/>
              </w:rPr>
            </w:pPr>
            <w:r>
              <w:rPr>
                <w:rFonts w:hint="eastAsia" w:hAnsi="宋体" w:cs="宋体"/>
                <w:sz w:val="18"/>
                <w:szCs w:val="18"/>
              </w:rPr>
              <w:t>≥</w:t>
            </w:r>
            <w:r>
              <w:rPr>
                <w:rFonts w:ascii="Times New Roman"/>
                <w:sz w:val="18"/>
                <w:szCs w:val="18"/>
              </w:rPr>
              <w:t>0.5</w:t>
            </w:r>
            <w:r>
              <w:rPr>
                <w:rFonts w:hint="eastAsia" w:ascii="Times New Roman"/>
                <w:sz w:val="18"/>
                <w:szCs w:val="18"/>
              </w:rPr>
              <w:t>0/</w:t>
            </w:r>
            <w:r>
              <w:rPr>
                <w:rFonts w:ascii="Times New Roman"/>
                <w:sz w:val="18"/>
                <w:szCs w:val="18"/>
              </w:rPr>
              <w:t>—</w:t>
            </w: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6AB7BC84">
            <w:pPr>
              <w:overflowPunct w:val="0"/>
              <w:jc w:val="center"/>
              <w:rPr>
                <w:rFonts w:ascii="Times New Roman" w:hAnsi="Times New Roman"/>
                <w:sz w:val="18"/>
                <w:szCs w:val="18"/>
              </w:rPr>
            </w:pPr>
            <w:r>
              <w:rPr>
                <w:rFonts w:hint="eastAsia" w:ascii="Times New Roman" w:hAnsi="Times New Roman"/>
                <w:sz w:val="18"/>
                <w:szCs w:val="18"/>
              </w:rPr>
              <w:t>≤1.60</w:t>
            </w:r>
          </w:p>
        </w:tc>
        <w:tc>
          <w:tcPr>
            <w:tcW w:w="1041" w:type="dxa"/>
            <w:tcBorders>
              <w:top w:val="single" w:color="auto" w:sz="4" w:space="0"/>
              <w:left w:val="single" w:color="auto" w:sz="4" w:space="0"/>
              <w:bottom w:val="single" w:color="auto" w:sz="4" w:space="0"/>
              <w:tl2br w:val="nil"/>
              <w:tr2bl w:val="nil"/>
            </w:tcBorders>
            <w:vAlign w:val="center"/>
          </w:tcPr>
          <w:p w14:paraId="78EEDD56">
            <w:pPr>
              <w:overflowPunct w:val="0"/>
              <w:jc w:val="center"/>
              <w:rPr>
                <w:rFonts w:ascii="Times New Roman" w:hAnsi="Times New Roman"/>
                <w:sz w:val="18"/>
                <w:szCs w:val="18"/>
              </w:rPr>
            </w:pPr>
            <w:r>
              <w:rPr>
                <w:rFonts w:hint="eastAsia" w:ascii="Times New Roman" w:hAnsi="Times New Roman"/>
                <w:sz w:val="18"/>
                <w:szCs w:val="18"/>
              </w:rPr>
              <w:t>≤0.25/0.30</w:t>
            </w:r>
          </w:p>
        </w:tc>
        <w:tc>
          <w:tcPr>
            <w:tcW w:w="747" w:type="dxa"/>
            <w:vMerge w:val="continue"/>
            <w:tcBorders>
              <w:left w:val="single" w:color="auto" w:sz="4" w:space="0"/>
              <w:tl2br w:val="nil"/>
              <w:tr2bl w:val="nil"/>
            </w:tcBorders>
            <w:vAlign w:val="center"/>
          </w:tcPr>
          <w:p w14:paraId="580D1498">
            <w:pPr>
              <w:overflowPunct w:val="0"/>
              <w:jc w:val="center"/>
              <w:rPr>
                <w:rFonts w:hint="eastAsia" w:ascii="Times New Roman" w:hAnsi="Times New Roman"/>
                <w:sz w:val="18"/>
                <w:szCs w:val="18"/>
              </w:rPr>
            </w:pPr>
          </w:p>
        </w:tc>
      </w:tr>
      <w:tr w14:paraId="38370A1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1283" w:type="dxa"/>
            <w:vMerge w:val="continue"/>
            <w:tcBorders>
              <w:top w:val="single" w:color="auto" w:sz="4" w:space="0"/>
              <w:bottom w:val="single" w:color="auto" w:sz="4" w:space="0"/>
              <w:right w:val="single" w:color="auto" w:sz="4" w:space="0"/>
              <w:tl2br w:val="nil"/>
              <w:tr2bl w:val="nil"/>
            </w:tcBorders>
            <w:vAlign w:val="center"/>
          </w:tcPr>
          <w:p w14:paraId="561316A3">
            <w:pPr>
              <w:overflowPunct w:val="0"/>
              <w:jc w:val="center"/>
              <w:rPr>
                <w:rFonts w:ascii="Times New Roman" w:hAnsi="Times New Roman"/>
                <w:sz w:val="18"/>
                <w:szCs w:val="18"/>
              </w:rPr>
            </w:pPr>
          </w:p>
        </w:tc>
        <w:tc>
          <w:tcPr>
            <w:tcW w:w="2016" w:type="dxa"/>
            <w:tcBorders>
              <w:top w:val="single" w:color="auto" w:sz="4" w:space="0"/>
              <w:left w:val="single" w:color="auto" w:sz="4" w:space="0"/>
              <w:bottom w:val="single" w:color="auto" w:sz="4" w:space="0"/>
              <w:right w:val="single" w:color="auto" w:sz="4" w:space="0"/>
              <w:tl2br w:val="nil"/>
              <w:tr2bl w:val="nil"/>
            </w:tcBorders>
            <w:vAlign w:val="center"/>
          </w:tcPr>
          <w:p w14:paraId="60BF00D0">
            <w:pPr>
              <w:overflowPunct w:val="0"/>
              <w:jc w:val="center"/>
              <w:rPr>
                <w:rFonts w:ascii="Times New Roman" w:hAnsi="Times New Roman"/>
                <w:sz w:val="18"/>
                <w:szCs w:val="18"/>
              </w:rPr>
            </w:pPr>
            <w:r>
              <w:rPr>
                <w:rFonts w:hint="eastAsia" w:ascii="Times New Roman" w:hAnsi="Times New Roman"/>
                <w:sz w:val="18"/>
                <w:szCs w:val="18"/>
              </w:rPr>
              <w:t>0.50＜窗墙面积比≤0.60</w:t>
            </w:r>
          </w:p>
        </w:tc>
        <w:tc>
          <w:tcPr>
            <w:tcW w:w="1392" w:type="dxa"/>
            <w:vMerge w:val="continue"/>
            <w:tcBorders>
              <w:left w:val="single" w:color="auto" w:sz="4" w:space="0"/>
              <w:bottom w:val="single" w:color="auto" w:sz="4" w:space="0"/>
              <w:right w:val="single" w:color="auto" w:sz="4" w:space="0"/>
              <w:tl2br w:val="nil"/>
              <w:tr2bl w:val="nil"/>
            </w:tcBorders>
            <w:vAlign w:val="center"/>
          </w:tcPr>
          <w:p w14:paraId="215856CF">
            <w:pPr>
              <w:overflowPunct w:val="0"/>
              <w:jc w:val="center"/>
              <w:rPr>
                <w:rFonts w:ascii="Times New Roman" w:hAnsi="Times New Roman"/>
                <w:sz w:val="18"/>
                <w:szCs w:val="18"/>
              </w:rPr>
            </w:pPr>
          </w:p>
        </w:tc>
        <w:tc>
          <w:tcPr>
            <w:tcW w:w="982" w:type="dxa"/>
            <w:vMerge w:val="continue"/>
            <w:tcBorders>
              <w:left w:val="single" w:color="auto" w:sz="4" w:space="0"/>
              <w:bottom w:val="single" w:color="auto" w:sz="4" w:space="0"/>
              <w:right w:val="single" w:color="auto" w:sz="4" w:space="0"/>
              <w:tl2br w:val="nil"/>
              <w:tr2bl w:val="nil"/>
            </w:tcBorders>
            <w:vAlign w:val="center"/>
          </w:tcPr>
          <w:p w14:paraId="2A422EE5">
            <w:pPr>
              <w:overflowPunct w:val="0"/>
              <w:jc w:val="center"/>
              <w:rPr>
                <w:rFonts w:ascii="Times New Roman" w:hAnsi="Times New Roman"/>
                <w:sz w:val="18"/>
                <w:szCs w:val="18"/>
              </w:rPr>
            </w:pPr>
          </w:p>
        </w:tc>
        <w:tc>
          <w:tcPr>
            <w:tcW w:w="931" w:type="dxa"/>
            <w:vMerge w:val="continue"/>
            <w:tcBorders>
              <w:left w:val="single" w:color="auto" w:sz="4" w:space="0"/>
              <w:bottom w:val="single" w:color="auto" w:sz="4" w:space="0"/>
              <w:right w:val="single" w:color="auto" w:sz="4" w:space="0"/>
              <w:tl2br w:val="nil"/>
              <w:tr2bl w:val="nil"/>
            </w:tcBorders>
            <w:vAlign w:val="center"/>
          </w:tcPr>
          <w:p w14:paraId="4C968A4B">
            <w:pPr>
              <w:overflowPunct w:val="0"/>
              <w:jc w:val="center"/>
              <w:rPr>
                <w:rFonts w:hint="eastAsia" w:ascii="Times New Roman" w:hAnsi="Times New Roman"/>
                <w:sz w:val="18"/>
                <w:szCs w:val="18"/>
              </w:rPr>
            </w:pPr>
          </w:p>
        </w:tc>
        <w:tc>
          <w:tcPr>
            <w:tcW w:w="1574" w:type="dxa"/>
            <w:tcBorders>
              <w:top w:val="single" w:color="auto" w:sz="4" w:space="0"/>
              <w:left w:val="single" w:color="auto" w:sz="4" w:space="0"/>
              <w:bottom w:val="single" w:color="auto" w:sz="4" w:space="0"/>
              <w:right w:val="single" w:color="auto" w:sz="4" w:space="0"/>
              <w:tl2br w:val="nil"/>
              <w:tr2bl w:val="nil"/>
            </w:tcBorders>
            <w:vAlign w:val="center"/>
          </w:tcPr>
          <w:p w14:paraId="6CE6A8E4">
            <w:pPr>
              <w:overflowPunct w:val="0"/>
              <w:jc w:val="center"/>
              <w:rPr>
                <w:rFonts w:ascii="Times New Roman" w:hAnsi="Times New Roman"/>
                <w:sz w:val="18"/>
                <w:szCs w:val="18"/>
              </w:rPr>
            </w:pPr>
            <w:r>
              <w:rPr>
                <w:rFonts w:hint="eastAsia" w:ascii="Times New Roman" w:hAnsi="Times New Roman"/>
                <w:sz w:val="18"/>
                <w:szCs w:val="18"/>
              </w:rPr>
              <w:t>≤1.60</w:t>
            </w:r>
          </w:p>
        </w:tc>
        <w:tc>
          <w:tcPr>
            <w:tcW w:w="1041" w:type="dxa"/>
            <w:tcBorders>
              <w:top w:val="single" w:color="auto" w:sz="4" w:space="0"/>
              <w:left w:val="single" w:color="auto" w:sz="4" w:space="0"/>
              <w:bottom w:val="single" w:color="auto" w:sz="4" w:space="0"/>
              <w:tl2br w:val="nil"/>
              <w:tr2bl w:val="nil"/>
            </w:tcBorders>
            <w:vAlign w:val="center"/>
          </w:tcPr>
          <w:p w14:paraId="273890F0">
            <w:pPr>
              <w:overflowPunct w:val="0"/>
              <w:jc w:val="center"/>
              <w:rPr>
                <w:rFonts w:ascii="Times New Roman" w:hAnsi="Times New Roman"/>
                <w:sz w:val="18"/>
                <w:szCs w:val="18"/>
              </w:rPr>
            </w:pPr>
            <w:r>
              <w:rPr>
                <w:rFonts w:hint="eastAsia" w:ascii="Times New Roman" w:hAnsi="Times New Roman"/>
                <w:sz w:val="18"/>
                <w:szCs w:val="18"/>
              </w:rPr>
              <w:t>≤0.25/0.30</w:t>
            </w:r>
          </w:p>
        </w:tc>
        <w:tc>
          <w:tcPr>
            <w:tcW w:w="747" w:type="dxa"/>
            <w:vMerge w:val="continue"/>
            <w:tcBorders>
              <w:left w:val="single" w:color="auto" w:sz="4" w:space="0"/>
              <w:tl2br w:val="nil"/>
              <w:tr2bl w:val="nil"/>
            </w:tcBorders>
            <w:vAlign w:val="center"/>
          </w:tcPr>
          <w:p w14:paraId="01C6E20B">
            <w:pPr>
              <w:overflowPunct w:val="0"/>
              <w:jc w:val="center"/>
              <w:rPr>
                <w:rFonts w:hint="eastAsia" w:ascii="Times New Roman" w:hAnsi="Times New Roman"/>
                <w:sz w:val="18"/>
                <w:szCs w:val="18"/>
              </w:rPr>
            </w:pPr>
          </w:p>
        </w:tc>
      </w:tr>
      <w:tr w14:paraId="77E9D70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57" w:type="dxa"/>
            <w:bottom w:w="0" w:type="dxa"/>
            <w:right w:w="57" w:type="dxa"/>
          </w:tblCellMar>
        </w:tblPrEx>
        <w:trPr>
          <w:jc w:val="center"/>
        </w:trPr>
        <w:tc>
          <w:tcPr>
            <w:tcW w:w="3299" w:type="dxa"/>
            <w:gridSpan w:val="2"/>
            <w:tcBorders>
              <w:top w:val="single" w:color="auto" w:sz="4" w:space="0"/>
              <w:tl2br w:val="nil"/>
              <w:tr2bl w:val="nil"/>
            </w:tcBorders>
            <w:vAlign w:val="center"/>
          </w:tcPr>
          <w:p w14:paraId="6C545BA8">
            <w:pPr>
              <w:overflowPunct w:val="0"/>
              <w:jc w:val="center"/>
              <w:rPr>
                <w:rFonts w:hint="eastAsia" w:ascii="Times New Roman" w:hAnsi="Times New Roman"/>
                <w:sz w:val="18"/>
                <w:szCs w:val="18"/>
              </w:rPr>
            </w:pPr>
            <w:r>
              <w:rPr>
                <w:rFonts w:hint="eastAsia" w:ascii="Times New Roman" w:hAnsi="Times New Roman"/>
                <w:sz w:val="18"/>
                <w:szCs w:val="18"/>
              </w:rPr>
              <w:t>屋顶透光部分</w:t>
            </w:r>
          </w:p>
          <w:p w14:paraId="7842B5DA">
            <w:pPr>
              <w:overflowPunct w:val="0"/>
              <w:jc w:val="center"/>
              <w:rPr>
                <w:rFonts w:ascii="Times New Roman" w:hAnsi="Times New Roman"/>
                <w:sz w:val="18"/>
                <w:szCs w:val="18"/>
              </w:rPr>
            </w:pPr>
            <w:r>
              <w:rPr>
                <w:rFonts w:hint="eastAsia" w:ascii="Times New Roman" w:hAnsi="Times New Roman"/>
                <w:sz w:val="18"/>
                <w:szCs w:val="18"/>
              </w:rPr>
              <w:t>（屋顶透光部分面积≤20%）</w:t>
            </w:r>
          </w:p>
        </w:tc>
        <w:tc>
          <w:tcPr>
            <w:tcW w:w="1392" w:type="dxa"/>
            <w:tcBorders>
              <w:top w:val="single" w:color="auto" w:sz="4" w:space="0"/>
              <w:right w:val="single" w:color="auto" w:sz="4" w:space="0"/>
              <w:tl2br w:val="nil"/>
              <w:tr2bl w:val="nil"/>
            </w:tcBorders>
            <w:vAlign w:val="center"/>
          </w:tcPr>
          <w:p w14:paraId="4D0F965E">
            <w:pPr>
              <w:overflowPunct w:val="0"/>
              <w:jc w:val="center"/>
              <w:rPr>
                <w:rFonts w:ascii="Times New Roman" w:hAnsi="Times New Roman"/>
                <w:sz w:val="18"/>
                <w:szCs w:val="18"/>
              </w:rPr>
            </w:pPr>
            <w:r>
              <w:rPr>
                <w:rFonts w:hint="eastAsia" w:ascii="Times New Roman" w:hAnsi="Times New Roman"/>
                <w:sz w:val="18"/>
                <w:szCs w:val="18"/>
              </w:rPr>
              <w:t>≤1.</w:t>
            </w:r>
            <w:r>
              <w:rPr>
                <w:rFonts w:hint="eastAsia"/>
                <w:sz w:val="18"/>
                <w:szCs w:val="18"/>
                <w:lang w:val="en-US" w:eastAsia="zh-CN"/>
              </w:rPr>
              <w:t>2</w:t>
            </w:r>
            <w:r>
              <w:rPr>
                <w:rFonts w:hint="eastAsia" w:ascii="Times New Roman" w:hAnsi="Times New Roman"/>
                <w:sz w:val="18"/>
                <w:szCs w:val="18"/>
              </w:rPr>
              <w:t>0</w:t>
            </w:r>
          </w:p>
        </w:tc>
        <w:tc>
          <w:tcPr>
            <w:tcW w:w="982" w:type="dxa"/>
            <w:tcBorders>
              <w:top w:val="single" w:color="auto" w:sz="4" w:space="0"/>
              <w:left w:val="single" w:color="auto" w:sz="4" w:space="0"/>
              <w:right w:val="single" w:color="auto" w:sz="4" w:space="0"/>
              <w:tl2br w:val="nil"/>
              <w:tr2bl w:val="nil"/>
            </w:tcBorders>
            <w:vAlign w:val="center"/>
          </w:tcPr>
          <w:p w14:paraId="02955809">
            <w:pPr>
              <w:overflowPunct w:val="0"/>
              <w:jc w:val="center"/>
              <w:rPr>
                <w:rFonts w:ascii="Times New Roman" w:hAnsi="Times New Roman"/>
                <w:sz w:val="18"/>
                <w:szCs w:val="18"/>
              </w:rPr>
            </w:pPr>
            <w:r>
              <w:rPr>
                <w:rFonts w:hint="eastAsia" w:hAnsi="宋体" w:cs="宋体"/>
                <w:sz w:val="18"/>
                <w:szCs w:val="18"/>
              </w:rPr>
              <w:t>≤</w:t>
            </w:r>
            <w:r>
              <w:rPr>
                <w:rFonts w:ascii="Times New Roman"/>
                <w:sz w:val="18"/>
                <w:szCs w:val="18"/>
              </w:rPr>
              <w:t>0.</w:t>
            </w:r>
            <w:r>
              <w:rPr>
                <w:rFonts w:hint="eastAsia" w:ascii="Times New Roman"/>
                <w:sz w:val="18"/>
                <w:szCs w:val="18"/>
              </w:rPr>
              <w:t>20</w:t>
            </w:r>
          </w:p>
        </w:tc>
        <w:tc>
          <w:tcPr>
            <w:tcW w:w="931" w:type="dxa"/>
            <w:tcBorders>
              <w:top w:val="single" w:color="auto" w:sz="4" w:space="0"/>
              <w:left w:val="single" w:color="auto" w:sz="4" w:space="0"/>
              <w:right w:val="single" w:color="auto" w:sz="4" w:space="0"/>
              <w:tl2br w:val="nil"/>
              <w:tr2bl w:val="nil"/>
            </w:tcBorders>
            <w:vAlign w:val="center"/>
          </w:tcPr>
          <w:p w14:paraId="7587C655">
            <w:pPr>
              <w:overflowPunct w:val="0"/>
              <w:jc w:val="center"/>
              <w:rPr>
                <w:rFonts w:hint="eastAsia" w:ascii="Times New Roman" w:hAnsi="Times New Roman"/>
                <w:sz w:val="18"/>
                <w:szCs w:val="18"/>
              </w:rPr>
            </w:pPr>
            <w:r>
              <w:rPr>
                <w:rFonts w:hint="eastAsia" w:hAnsi="宋体" w:cs="宋体"/>
                <w:sz w:val="18"/>
                <w:szCs w:val="18"/>
              </w:rPr>
              <w:t>≥</w:t>
            </w:r>
            <w:r>
              <w:rPr>
                <w:rFonts w:ascii="Times New Roman"/>
                <w:sz w:val="18"/>
                <w:szCs w:val="18"/>
              </w:rPr>
              <w:t>0.5</w:t>
            </w:r>
            <w:r>
              <w:rPr>
                <w:rFonts w:hint="eastAsia" w:ascii="Times New Roman"/>
                <w:sz w:val="18"/>
                <w:szCs w:val="18"/>
              </w:rPr>
              <w:t>0</w:t>
            </w:r>
          </w:p>
        </w:tc>
        <w:tc>
          <w:tcPr>
            <w:tcW w:w="1574" w:type="dxa"/>
            <w:tcBorders>
              <w:top w:val="single" w:color="auto" w:sz="4" w:space="0"/>
              <w:left w:val="single" w:color="auto" w:sz="4" w:space="0"/>
              <w:right w:val="single" w:color="auto" w:sz="4" w:space="0"/>
              <w:tl2br w:val="nil"/>
              <w:tr2bl w:val="nil"/>
            </w:tcBorders>
            <w:vAlign w:val="center"/>
          </w:tcPr>
          <w:p w14:paraId="7F30D317">
            <w:pPr>
              <w:overflowPunct w:val="0"/>
              <w:jc w:val="center"/>
              <w:rPr>
                <w:rFonts w:ascii="Times New Roman" w:hAnsi="Times New Roman"/>
                <w:sz w:val="18"/>
                <w:szCs w:val="18"/>
              </w:rPr>
            </w:pPr>
            <w:r>
              <w:rPr>
                <w:rFonts w:hint="eastAsia" w:ascii="Times New Roman" w:hAnsi="Times New Roman"/>
                <w:sz w:val="18"/>
                <w:szCs w:val="18"/>
              </w:rPr>
              <w:t>≤1.50</w:t>
            </w:r>
          </w:p>
        </w:tc>
        <w:tc>
          <w:tcPr>
            <w:tcW w:w="1041" w:type="dxa"/>
            <w:tcBorders>
              <w:top w:val="single" w:color="auto" w:sz="4" w:space="0"/>
              <w:left w:val="single" w:color="auto" w:sz="4" w:space="0"/>
              <w:tl2br w:val="nil"/>
              <w:tr2bl w:val="nil"/>
            </w:tcBorders>
            <w:vAlign w:val="center"/>
          </w:tcPr>
          <w:p w14:paraId="322EC728">
            <w:pPr>
              <w:overflowPunct w:val="0"/>
              <w:jc w:val="center"/>
              <w:rPr>
                <w:rFonts w:ascii="Times New Roman" w:hAnsi="Times New Roman"/>
                <w:sz w:val="18"/>
                <w:szCs w:val="18"/>
              </w:rPr>
            </w:pPr>
            <w:r>
              <w:rPr>
                <w:rFonts w:hint="eastAsia" w:ascii="Times New Roman" w:hAnsi="Times New Roman"/>
                <w:sz w:val="18"/>
                <w:szCs w:val="18"/>
              </w:rPr>
              <w:t>≤0.25</w:t>
            </w:r>
          </w:p>
        </w:tc>
        <w:tc>
          <w:tcPr>
            <w:tcW w:w="747" w:type="dxa"/>
            <w:vMerge w:val="continue"/>
            <w:tcBorders>
              <w:left w:val="single" w:color="auto" w:sz="4" w:space="0"/>
              <w:tl2br w:val="nil"/>
              <w:tr2bl w:val="nil"/>
            </w:tcBorders>
            <w:vAlign w:val="center"/>
          </w:tcPr>
          <w:p w14:paraId="4DDF8858">
            <w:pPr>
              <w:overflowPunct w:val="0"/>
              <w:jc w:val="center"/>
              <w:rPr>
                <w:rFonts w:hint="eastAsia" w:ascii="Times New Roman" w:hAnsi="Times New Roman"/>
                <w:sz w:val="18"/>
                <w:szCs w:val="18"/>
              </w:rPr>
            </w:pPr>
          </w:p>
        </w:tc>
      </w:tr>
    </w:tbl>
    <w:p w14:paraId="249029BF">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【条文说明】围护结构热工性能提升是建筑本体节能的重要措施，也是超低能耗建筑的主要特征之一。本条提出围护结构热工性能参数限值，是基于如下考虑：</w:t>
      </w:r>
    </w:p>
    <w:p w14:paraId="5874D3F1">
      <w:pPr>
        <w:tabs>
          <w:tab w:val="left" w:pos="397"/>
        </w:tabs>
        <w:overflowPunct w:val="0"/>
        <w:ind w:firstLine="420" w:firstLineChars="200"/>
        <w:rPr>
          <w:rFonts w:ascii="Times New Roman" w:hAnsi="Times New Roman" w:cs="Times New Roman"/>
          <w:color w:val="0000FF"/>
          <w:szCs w:val="21"/>
        </w:rPr>
      </w:pPr>
      <w:r>
        <w:rPr>
          <w:rFonts w:hint="eastAsia" w:ascii="Times New Roman" w:hAnsi="Times New Roman" w:cs="Times New Roman"/>
          <w:color w:val="0000FF"/>
          <w:szCs w:val="21"/>
        </w:rPr>
        <w:t>1性能提升。超低能耗建筑作为更高标准的节能建筑，其围护结构热工性能指标应较现行建筑节能设计标准要求有提升，以改善节能和环境水平。本条所提出的围护结构热工性能水平，均较《建筑节能与可再生能源利用通用规范》GB55015-2021有不同程度的提升。综合太阳得热系数为外窗（含透光幕墙）本身的太阳得热系数和外遮阳构件的遮阳系数乘积，当采用外置或中置活动遮阳时视为满足本条关于太阳得热系数要求。</w:t>
      </w:r>
    </w:p>
    <w:p w14:paraId="660AB651">
      <w:pPr>
        <w:tabs>
          <w:tab w:val="left" w:pos="397"/>
        </w:tabs>
        <w:overflowPunct w:val="0"/>
        <w:ind w:firstLine="420" w:firstLineChars="200"/>
        <w:rPr>
          <w:rFonts w:ascii="Times New Roman" w:hAnsi="Times New Roman" w:cs="Times New Roman"/>
          <w:color w:val="0000FF"/>
          <w:szCs w:val="21"/>
        </w:rPr>
      </w:pPr>
      <w:r>
        <w:rPr>
          <w:rFonts w:ascii="Times New Roman" w:hAnsi="Times New Roman" w:cs="Times New Roman"/>
          <w:color w:val="0000FF"/>
          <w:szCs w:val="21"/>
        </w:rPr>
        <w:t>2适度保温。相关研究显示，在</w:t>
      </w:r>
      <w:r>
        <w:rPr>
          <w:rFonts w:hint="eastAsia" w:ascii="Times New Roman" w:hAnsi="Times New Roman" w:cs="Times New Roman"/>
          <w:color w:val="0000FF"/>
          <w:szCs w:val="21"/>
          <w:lang w:val="en-US" w:eastAsia="zh-CN"/>
        </w:rPr>
        <w:t>武汉市</w:t>
      </w:r>
      <w:r>
        <w:rPr>
          <w:rFonts w:ascii="Times New Roman" w:hAnsi="Times New Roman" w:cs="Times New Roman"/>
          <w:color w:val="0000FF"/>
          <w:szCs w:val="21"/>
        </w:rPr>
        <w:t>的气候特征下，提升外墙的保温性能，对降低冬季供暖负荷和能耗作用明显，对降低夏季空调负荷和能耗并不突出，尤其是对于内热较大的公共建筑，外墙保温对降低夏季空调负荷的效果有限甚至会有负面影响。因此本标准提出适度保温的原则，外墙传热系数指标与严寒及寒冷地区超低能耗建筑要求仍有明显区别，并与居住建筑有所区分。</w:t>
      </w:r>
    </w:p>
    <w:p w14:paraId="3A866C3F">
      <w:pPr>
        <w:pStyle w:val="277"/>
        <w:numPr>
          <w:ilvl w:val="2"/>
          <w:numId w:val="38"/>
        </w:numPr>
        <w:spacing w:before="0" w:beforeLines="0" w:after="0" w:afterLines="0"/>
      </w:pPr>
      <w:r>
        <w:rPr>
          <w:rFonts w:hint="eastAsia" w:hAnsi="黑体" w:eastAsia="宋体"/>
        </w:rPr>
        <w:t>应根据基层墙体类型和外立面类型选择适宜的保温体系，外墙保温工程应符合现行地方标准《外墙保温工程技术规范》</w:t>
      </w:r>
      <w:r>
        <w:rPr>
          <w:rFonts w:hint="default" w:ascii="Times New Roman" w:hAnsi="Times New Roman" w:eastAsia="宋体" w:cs="Times New Roman"/>
        </w:rPr>
        <w:t>DB42/T2068</w:t>
      </w:r>
      <w:r>
        <w:rPr>
          <w:rFonts w:hint="eastAsia" w:hAnsi="黑体" w:eastAsia="宋体"/>
        </w:rPr>
        <w:t>规定。当外立面采用幕墙体系时，宜采用单元式幕墙方式。</w:t>
      </w:r>
    </w:p>
    <w:p w14:paraId="4E37641C">
      <w:pPr>
        <w:pStyle w:val="277"/>
        <w:numPr>
          <w:ilvl w:val="2"/>
          <w:numId w:val="38"/>
        </w:numPr>
        <w:spacing w:before="0" w:beforeLines="0" w:after="0" w:afterLines="0"/>
        <w:rPr>
          <w:rFonts w:hAnsi="黑体" w:eastAsia="宋体"/>
        </w:rPr>
      </w:pPr>
      <w:r>
        <w:rPr>
          <w:rFonts w:hint="eastAsia" w:hAnsi="黑体" w:eastAsia="宋体"/>
        </w:rPr>
        <w:t>围护结构保温应优先选用高性能保温材料，以减少保温层厚度。且屋面保温材料吸水率应≤</w:t>
      </w:r>
      <w:r>
        <w:rPr>
          <w:rFonts w:hint="default" w:ascii="Times New Roman" w:hAnsi="Times New Roman" w:eastAsia="宋体" w:cs="Times New Roman"/>
        </w:rPr>
        <w:t>3%</w:t>
      </w:r>
      <w:r>
        <w:rPr>
          <w:rFonts w:hAnsi="黑体" w:eastAsia="宋体"/>
        </w:rPr>
        <w:t>。</w:t>
      </w:r>
    </w:p>
    <w:p w14:paraId="1E092A5C">
      <w:pPr>
        <w:pStyle w:val="277"/>
        <w:numPr>
          <w:ilvl w:val="2"/>
          <w:numId w:val="38"/>
        </w:numPr>
        <w:spacing w:before="0" w:beforeLines="0" w:after="0" w:afterLines="0"/>
        <w:rPr>
          <w:rFonts w:hint="eastAsia" w:hAnsi="黑体" w:eastAsia="宋体" w:cs="Times New Roman"/>
          <w:szCs w:val="22"/>
        </w:rPr>
      </w:pPr>
      <w:r>
        <w:rPr>
          <w:rFonts w:hint="eastAsia" w:hAnsi="黑体" w:eastAsia="宋体" w:cs="Times New Roman"/>
          <w:szCs w:val="22"/>
        </w:rPr>
        <w:t>供暖空调房间外墙主体部位传热系数不应大于非供暖空调房间外墙主体部分传热系数</w:t>
      </w:r>
      <w:r>
        <w:rPr>
          <w:rFonts w:hint="eastAsia" w:hAnsi="黑体" w:eastAsia="宋体" w:cs="Times New Roman"/>
          <w:szCs w:val="22"/>
          <w:lang w:eastAsia="zh-CN"/>
        </w:rPr>
        <w:t>。</w:t>
      </w:r>
    </w:p>
    <w:p w14:paraId="09DF1926">
      <w:pPr>
        <w:tabs>
          <w:tab w:val="left" w:pos="397"/>
        </w:tabs>
        <w:overflowPunct w:val="0"/>
        <w:rPr>
          <w:rFonts w:hint="eastAsia"/>
        </w:rPr>
      </w:pPr>
      <w:r>
        <w:rPr>
          <w:rFonts w:hint="eastAsia" w:ascii="Times New Roman" w:hAnsi="Times New Roman" w:cs="Times New Roman"/>
          <w:color w:val="0000FF"/>
          <w:szCs w:val="21"/>
        </w:rPr>
        <w:t>【条文说明】表6.1.1条提出的外墙传热系数指标为全楼平均值，实际建筑因装配式设计、围护结构设计等差异，在不同部位可能会采取不同的基层墙体和保温措施，从而导致全楼不同部位的传热系数差异。为保证保温设计的合理性，规避依靠非供暖空调房间外墙拉低外墙平均传热系数的做法，本条提出主体部位保温设计应遵循的均衡性原则。</w:t>
      </w:r>
    </w:p>
    <w:p w14:paraId="56DF738E">
      <w:pPr>
        <w:pStyle w:val="277"/>
        <w:numPr>
          <w:ilvl w:val="2"/>
          <w:numId w:val="38"/>
        </w:numPr>
        <w:spacing w:before="0" w:beforeLines="0" w:after="0" w:afterLines="0"/>
        <w:rPr>
          <w:rFonts w:hint="eastAsia" w:hAnsi="黑体" w:eastAsia="宋体"/>
        </w:rPr>
      </w:pPr>
      <w:r>
        <w:rPr>
          <w:rFonts w:hint="eastAsia" w:hAnsi="黑体" w:eastAsia="宋体"/>
        </w:rPr>
        <w:t>建筑外立面采用非透明构件或组合式构造且按非透光面积未计入窗墙比时，该部分热工性能应满足外墙传热系数限值。</w:t>
      </w:r>
    </w:p>
    <w:p w14:paraId="2F052456">
      <w:pPr>
        <w:pStyle w:val="277"/>
        <w:numPr>
          <w:ilvl w:val="2"/>
          <w:numId w:val="38"/>
        </w:numPr>
        <w:spacing w:before="0" w:beforeLines="0" w:after="0" w:afterLines="0"/>
        <w:rPr>
          <w:rFonts w:hint="eastAsia" w:hAnsi="黑体" w:eastAsia="宋体"/>
        </w:rPr>
      </w:pPr>
      <w:r>
        <w:rPr>
          <w:rFonts w:hint="eastAsia" w:hAnsi="黑体" w:eastAsia="宋体"/>
        </w:rPr>
        <w:t>在室内设计温、湿度条件下，建筑围护结构内表面不得结露。</w:t>
      </w:r>
    </w:p>
    <w:p w14:paraId="3F7BF087">
      <w:pPr>
        <w:pStyle w:val="277"/>
        <w:numPr>
          <w:ilvl w:val="2"/>
          <w:numId w:val="38"/>
        </w:numPr>
        <w:spacing w:before="0" w:beforeLines="0" w:after="0" w:afterLines="0"/>
        <w:rPr>
          <w:rFonts w:hint="eastAsia" w:hAnsi="黑体" w:eastAsia="宋体"/>
        </w:rPr>
      </w:pPr>
      <w:r>
        <w:rPr>
          <w:rFonts w:hint="eastAsia" w:hAnsi="黑体" w:eastAsia="宋体"/>
        </w:rPr>
        <w:t>建筑外窗应控制东、西向开窗面积，各朝向窗墙面积比宜在</w:t>
      </w:r>
      <w:r>
        <w:rPr>
          <w:rFonts w:hint="default" w:ascii="Times New Roman" w:hAnsi="Times New Roman" w:eastAsia="宋体" w:cs="Times New Roman"/>
        </w:rPr>
        <w:t>0</w:t>
      </w:r>
      <w:r>
        <w:rPr>
          <w:rFonts w:hint="default" w:ascii="Times New Roman" w:hAnsi="Times New Roman" w:eastAsia="宋体" w:cs="Times New Roman"/>
          <w:lang w:val="en-US" w:eastAsia="zh-CN"/>
        </w:rPr>
        <w:t>.</w:t>
      </w:r>
      <w:r>
        <w:rPr>
          <w:rFonts w:hint="default" w:ascii="Times New Roman" w:hAnsi="Times New Roman" w:eastAsia="宋体" w:cs="Times New Roman"/>
        </w:rPr>
        <w:t>25～0.40之间，不应超过0.</w:t>
      </w:r>
      <w:r>
        <w:rPr>
          <w:rFonts w:hint="default" w:ascii="Times New Roman" w:hAnsi="Times New Roman" w:eastAsia="宋体" w:cs="Times New Roman"/>
          <w:lang w:val="en-US" w:eastAsia="zh-CN"/>
        </w:rPr>
        <w:t>7</w:t>
      </w:r>
      <w:r>
        <w:rPr>
          <w:rFonts w:hint="eastAsia" w:hAnsi="黑体" w:eastAsia="宋体"/>
        </w:rPr>
        <w:t>。</w:t>
      </w:r>
    </w:p>
    <w:p w14:paraId="2425D187">
      <w:pPr>
        <w:pStyle w:val="258"/>
        <w:ind w:left="0" w:leftChars="0" w:firstLine="0" w:firstLineChars="0"/>
        <w:rPr>
          <w:rFonts w:hint="eastAsia"/>
        </w:rPr>
      </w:pPr>
      <w:r>
        <w:rPr>
          <w:rFonts w:hint="eastAsia" w:ascii="Times New Roman" w:hAnsi="Times New Roman" w:cs="Times New Roman"/>
          <w:color w:val="0000FF"/>
          <w:szCs w:val="21"/>
        </w:rPr>
        <w:t>【条文说明】窗墙面积比既是影响建筑能耗的重要因素，也受到建筑日照、采光、自然通风等室内环境要求的制约。外窗和屋顶透光部分的传热系数远大于外墙，窗墙面积比越大，外窗在外墙面上的面积比例越高越不利于建筑节能，因此应当加以限制。</w:t>
      </w:r>
    </w:p>
    <w:p w14:paraId="27270621">
      <w:pPr>
        <w:pStyle w:val="277"/>
        <w:numPr>
          <w:ilvl w:val="2"/>
          <w:numId w:val="38"/>
        </w:numPr>
        <w:spacing w:before="0" w:beforeLines="0" w:after="0" w:afterLines="0"/>
        <w:rPr>
          <w:rFonts w:hint="eastAsia" w:hAnsi="黑体" w:eastAsia="宋体"/>
        </w:rPr>
      </w:pPr>
      <w:r>
        <w:rPr>
          <w:rFonts w:hint="eastAsia" w:hAnsi="黑体" w:eastAsia="宋体"/>
        </w:rPr>
        <w:t>建筑外墙、屋面外饰面层应采用浅色饰面或隔热反射涂料，外饰面材料太阳辐射吸收系数应小于0.60。屋面可采取架空通风层、蓄水种植隔热屋顶、遮阳构架、光伏一体化屋面等方式提升隔热性能，改善建筑顶层室内环境。</w:t>
      </w:r>
    </w:p>
    <w:p w14:paraId="00413A3F">
      <w:pPr>
        <w:pStyle w:val="277"/>
        <w:numPr>
          <w:ilvl w:val="2"/>
          <w:numId w:val="38"/>
        </w:numPr>
        <w:spacing w:before="0" w:beforeLines="0" w:after="0" w:afterLines="0"/>
        <w:rPr>
          <w:rFonts w:hint="eastAsia" w:hAnsi="黑体" w:eastAsia="宋体"/>
        </w:rPr>
      </w:pPr>
      <w:r>
        <w:rPr>
          <w:rFonts w:hint="eastAsia" w:hAnsi="黑体" w:eastAsia="宋体"/>
        </w:rPr>
        <w:t>居住建筑外窗（含阳台门透明部分）玻璃可见光透射比不应小于0.5。</w:t>
      </w:r>
    </w:p>
    <w:p w14:paraId="72639C10">
      <w:pPr>
        <w:tabs>
          <w:tab w:val="left" w:pos="397"/>
        </w:tabs>
        <w:overflowPunct w:val="0"/>
        <w:rPr>
          <w:rFonts w:hint="eastAsia" w:ascii="Times New Roman" w:hAnsi="Times New Roman" w:cs="Times New Roman"/>
          <w:color w:val="0000FF"/>
          <w:szCs w:val="21"/>
        </w:rPr>
      </w:pPr>
      <w:r>
        <w:rPr>
          <w:rFonts w:hint="eastAsia" w:ascii="Times New Roman" w:hAnsi="Times New Roman" w:cs="Times New Roman"/>
          <w:color w:val="0000FF"/>
          <w:szCs w:val="21"/>
        </w:rPr>
        <w:t>【条文说明】外窗玻璃的可见光透射比直接影响天然采光效果和人工照明的能耗。国家标准《建筑节能与可再生能源利用通用规范》GB55015-2021 提出，居住建筑外窗玻璃的可见光透射比不应小于0.4，本条从提升超低能耗建筑采光性能的角度，在该要求基础上进行提升，要求玻璃可见光透射比不应小于 0.5。居住建筑卫生间、厨房因隐私需求采用磨砂玻璃时可不受本条玻璃可见光透射比限制。</w:t>
      </w:r>
    </w:p>
    <w:p w14:paraId="6B04A6A8">
      <w:pPr>
        <w:pStyle w:val="277"/>
        <w:numPr>
          <w:ilvl w:val="2"/>
          <w:numId w:val="38"/>
        </w:numPr>
        <w:spacing w:before="0" w:beforeLines="0" w:after="0" w:afterLines="0"/>
        <w:rPr>
          <w:rFonts w:hint="eastAsia" w:hAnsi="黑体" w:eastAsia="宋体"/>
        </w:rPr>
      </w:pPr>
      <w:r>
        <w:rPr>
          <w:rFonts w:hint="eastAsia" w:hAnsi="黑体" w:eastAsia="宋体"/>
        </w:rPr>
        <w:t>居住建筑设置凸窗时，凸窗的顶板、底板以及侧向不透明部分应采取保温措施，其传热系数不应大于</w:t>
      </w:r>
      <w:r>
        <w:rPr>
          <w:rFonts w:hint="default" w:ascii="Times New Roman" w:hAnsi="Times New Roman" w:eastAsia="宋体" w:cs="Times New Roman"/>
        </w:rPr>
        <w:t>1.</w:t>
      </w:r>
      <w:r>
        <w:rPr>
          <w:rFonts w:hint="default" w:ascii="Times New Roman" w:hAnsi="Times New Roman" w:eastAsia="宋体" w:cs="Times New Roman"/>
          <w:lang w:val="en-US" w:eastAsia="zh-CN"/>
        </w:rPr>
        <w:t>0</w:t>
      </w:r>
      <w:r>
        <w:rPr>
          <w:rFonts w:hint="default" w:ascii="Times New Roman" w:hAnsi="Times New Roman" w:eastAsia="宋体" w:cs="Times New Roman"/>
        </w:rPr>
        <w:t>W/(m</w:t>
      </w:r>
      <w:r>
        <w:rPr>
          <w:rFonts w:hint="default" w:ascii="Times New Roman" w:hAnsi="Times New Roman" w:eastAsia="宋体" w:cs="Times New Roman"/>
          <w:vertAlign w:val="superscript"/>
        </w:rPr>
        <w:t>2</w:t>
      </w:r>
      <w:r>
        <w:rPr>
          <w:rFonts w:hint="default" w:ascii="Times New Roman" w:hAnsi="Times New Roman" w:eastAsia="宋体" w:cs="Times New Roman"/>
          <w:lang w:val="en-US" w:eastAsia="zh-CN"/>
        </w:rPr>
        <w:t>·</w:t>
      </w:r>
      <w:r>
        <w:rPr>
          <w:rFonts w:hint="default" w:ascii="Times New Roman" w:hAnsi="Times New Roman" w:eastAsia="宋体" w:cs="Times New Roman"/>
        </w:rPr>
        <w:t>k)</w:t>
      </w:r>
      <w:r>
        <w:rPr>
          <w:rFonts w:hint="eastAsia" w:hAnsi="黑体" w:eastAsia="宋体"/>
        </w:rPr>
        <w:t>。</w:t>
      </w:r>
    </w:p>
    <w:p w14:paraId="6006805B">
      <w:pPr>
        <w:pStyle w:val="258"/>
        <w:ind w:left="0" w:leftChars="0" w:firstLine="0" w:firstLineChars="0"/>
        <w:rPr>
          <w:rFonts w:hint="eastAsia" w:ascii="Times New Roman" w:hAnsi="Times New Roman" w:cs="Times New Roman"/>
          <w:color w:val="0000FF"/>
          <w:szCs w:val="21"/>
          <w:lang w:eastAsia="zh-CN"/>
        </w:rPr>
      </w:pPr>
      <w:r>
        <w:rPr>
          <w:rFonts w:hint="eastAsia" w:ascii="Times New Roman" w:hAnsi="Times New Roman" w:cs="Times New Roman"/>
          <w:color w:val="0000FF"/>
          <w:szCs w:val="21"/>
        </w:rPr>
        <w:t>【条文说明】凸窗目前在</w:t>
      </w:r>
      <w:r>
        <w:rPr>
          <w:rFonts w:hint="eastAsia" w:ascii="Times New Roman" w:cs="Times New Roman"/>
          <w:color w:val="0000FF"/>
          <w:szCs w:val="21"/>
          <w:lang w:val="en-US" w:eastAsia="zh-CN"/>
        </w:rPr>
        <w:t>武汉</w:t>
      </w:r>
      <w:r>
        <w:rPr>
          <w:rFonts w:hint="eastAsia" w:ascii="Times New Roman" w:hAnsi="Times New Roman" w:cs="Times New Roman"/>
          <w:color w:val="0000FF"/>
          <w:szCs w:val="21"/>
        </w:rPr>
        <w:t>市居住建筑中应用广泛。从节能角度，凸窗板增加了围护结构的传热面积和冷热量损失，需要进行保温处理。本条提出凸窗板的传热系数要求，较现行居住建筑节能设计标准要求有较大幅度的提升</w:t>
      </w:r>
      <w:r>
        <w:rPr>
          <w:rFonts w:hint="eastAsia" w:ascii="Times New Roman" w:hAnsi="Times New Roman" w:cs="Times New Roman"/>
          <w:color w:val="0000FF"/>
          <w:szCs w:val="21"/>
          <w:lang w:eastAsia="zh-CN"/>
        </w:rPr>
        <w:t>。</w:t>
      </w:r>
    </w:p>
    <w:p w14:paraId="03AFDC01">
      <w:pPr>
        <w:pStyle w:val="277"/>
        <w:numPr>
          <w:ilvl w:val="2"/>
          <w:numId w:val="38"/>
        </w:numPr>
        <w:spacing w:before="0" w:beforeLines="0" w:after="0" w:afterLines="0"/>
        <w:rPr>
          <w:rFonts w:hint="eastAsia" w:hAnsi="黑体" w:eastAsia="宋体"/>
          <w:lang w:eastAsia="zh-CN"/>
        </w:rPr>
      </w:pPr>
      <w:r>
        <w:rPr>
          <w:rFonts w:hint="eastAsia" w:hAnsi="黑体" w:eastAsia="宋体"/>
          <w:lang w:eastAsia="zh-CN"/>
        </w:rPr>
        <w:t>建筑外门宜采用气密性及保温性好的成品门。</w:t>
      </w:r>
    </w:p>
    <w:p w14:paraId="32E1DF7F">
      <w:pPr>
        <w:pStyle w:val="277"/>
        <w:numPr>
          <w:ilvl w:val="2"/>
          <w:numId w:val="38"/>
        </w:numPr>
        <w:spacing w:before="0" w:beforeLines="0" w:after="0" w:afterLines="0"/>
        <w:rPr>
          <w:rFonts w:hint="eastAsia" w:hAnsi="黑体" w:eastAsia="宋体"/>
          <w:lang w:eastAsia="zh-CN"/>
        </w:rPr>
      </w:pPr>
      <w:r>
        <w:rPr>
          <w:rFonts w:hint="eastAsia" w:hAnsi="黑体" w:eastAsia="宋体"/>
          <w:lang w:eastAsia="zh-CN"/>
        </w:rPr>
        <w:t>排气（烟）道宜设置在非采暖空调区域。</w:t>
      </w:r>
    </w:p>
    <w:p w14:paraId="41EB1E7E">
      <w:pPr>
        <w:pStyle w:val="277"/>
        <w:numPr>
          <w:ilvl w:val="2"/>
          <w:numId w:val="38"/>
        </w:numPr>
        <w:spacing w:before="0" w:beforeLines="0" w:after="0" w:afterLines="0"/>
        <w:rPr>
          <w:rFonts w:hint="default" w:ascii="Times New Roman" w:hAnsi="Times New Roman" w:eastAsia="宋体" w:cs="Times New Roman"/>
        </w:rPr>
      </w:pPr>
      <w:r>
        <w:rPr>
          <w:rFonts w:hint="eastAsia" w:hAnsi="黑体" w:eastAsia="宋体"/>
        </w:rPr>
        <w:t>住宅建筑户门应具有良好的保温性，其传热系数</w:t>
      </w:r>
      <w:r>
        <w:rPr>
          <w:rFonts w:hint="default" w:ascii="Times New Roman" w:hAnsi="Times New Roman" w:eastAsia="宋体" w:cs="Times New Roman"/>
        </w:rPr>
        <w:t>K值宜小于1.8W/(m</w:t>
      </w:r>
      <w:r>
        <w:rPr>
          <w:rFonts w:hint="default" w:ascii="Times New Roman" w:hAnsi="Times New Roman" w:eastAsia="宋体" w:cs="Times New Roman"/>
          <w:vertAlign w:val="superscript"/>
        </w:rPr>
        <w:t>2</w:t>
      </w:r>
      <w:r>
        <w:rPr>
          <w:rFonts w:hint="default" w:ascii="Times New Roman" w:hAnsi="Times New Roman" w:eastAsia="宋体" w:cs="Times New Roman"/>
        </w:rPr>
        <w:sym w:font="Wingdings" w:char="F09E"/>
      </w:r>
      <w:r>
        <w:rPr>
          <w:rFonts w:hint="default" w:ascii="Times New Roman" w:hAnsi="Times New Roman" w:eastAsia="宋体" w:cs="Times New Roman"/>
        </w:rPr>
        <w:t>k)。</w:t>
      </w:r>
    </w:p>
    <w:p w14:paraId="35C341A8">
      <w:pPr>
        <w:pStyle w:val="277"/>
        <w:numPr>
          <w:ilvl w:val="2"/>
          <w:numId w:val="38"/>
        </w:numPr>
        <w:spacing w:before="0" w:beforeLines="0" w:after="0" w:afterLines="0"/>
        <w:rPr>
          <w:rFonts w:hint="eastAsia" w:hAnsi="黑体" w:eastAsia="宋体"/>
        </w:rPr>
      </w:pPr>
      <w:r>
        <w:rPr>
          <w:rFonts w:hint="eastAsia" w:hAnsi="黑体" w:eastAsia="宋体"/>
        </w:rPr>
        <w:t>建筑围护结构的气密层设计应符合下列规定：</w:t>
      </w:r>
    </w:p>
    <w:p w14:paraId="745DE013">
      <w:pPr>
        <w:pStyle w:val="258"/>
        <w:tabs>
          <w:tab w:val="center" w:pos="4201"/>
          <w:tab w:val="right" w:leader="dot" w:pos="9298"/>
        </w:tabs>
        <w:ind w:firstLine="420"/>
        <w:rPr>
          <w:rFonts w:hint="eastAsia"/>
          <w:lang w:val="en-US" w:eastAsia="zh-CN"/>
        </w:rPr>
      </w:pPr>
      <w:r>
        <w:rPr>
          <w:rFonts w:hint="eastAsia"/>
          <w:lang w:val="en-US" w:eastAsia="zh-CN"/>
        </w:rPr>
        <w:t>1.划分气密性单元时，宜将建筑整体作为一个气密性单元；</w:t>
      </w:r>
    </w:p>
    <w:p w14:paraId="463BAC10">
      <w:pPr>
        <w:pStyle w:val="258"/>
        <w:tabs>
          <w:tab w:val="center" w:pos="4201"/>
          <w:tab w:val="right" w:leader="dot" w:pos="9298"/>
        </w:tabs>
        <w:ind w:firstLine="420"/>
        <w:rPr>
          <w:rFonts w:hint="eastAsia"/>
          <w:lang w:val="en-US" w:eastAsia="zh-CN"/>
        </w:rPr>
      </w:pPr>
      <w:r>
        <w:rPr>
          <w:rFonts w:hint="eastAsia"/>
          <w:lang w:val="en-US" w:eastAsia="zh-CN"/>
        </w:rPr>
        <w:t>2.气密层应连续完整，包绕整个气密区域，施工图中应明确标准气密层位置及构造做法；</w:t>
      </w:r>
    </w:p>
    <w:p w14:paraId="1006FF4D">
      <w:pPr>
        <w:pStyle w:val="258"/>
        <w:tabs>
          <w:tab w:val="center" w:pos="4201"/>
          <w:tab w:val="right" w:leader="dot" w:pos="9298"/>
        </w:tabs>
        <w:ind w:firstLine="420"/>
        <w:rPr>
          <w:rFonts w:hint="eastAsia"/>
          <w:lang w:val="en-US" w:eastAsia="zh-CN"/>
        </w:rPr>
      </w:pPr>
      <w:r>
        <w:rPr>
          <w:rFonts w:hint="eastAsia"/>
          <w:lang w:val="en-US" w:eastAsia="zh-CN"/>
        </w:rPr>
        <w:t>3.由不同材料、不同围护结构构成的气密层连接处，应采取气密搭接等气密措施；</w:t>
      </w:r>
    </w:p>
    <w:p w14:paraId="49A1FD36">
      <w:pPr>
        <w:pStyle w:val="258"/>
        <w:tabs>
          <w:tab w:val="center" w:pos="4201"/>
          <w:tab w:val="right" w:leader="dot" w:pos="9298"/>
        </w:tabs>
        <w:ind w:firstLine="420"/>
        <w:rPr>
          <w:rFonts w:hint="eastAsia"/>
          <w:lang w:val="en-US" w:eastAsia="zh-CN"/>
        </w:rPr>
      </w:pPr>
      <w:r>
        <w:rPr>
          <w:rFonts w:hint="eastAsia"/>
          <w:lang w:val="en-US" w:eastAsia="zh-CN"/>
        </w:rPr>
        <w:t>4.气密性设计应以建筑整体气密性的控制作为设计目标，应对气密层围护结构、门窗构件、洞口的气密性设计予以重点考虑。</w:t>
      </w:r>
    </w:p>
    <w:p w14:paraId="6AA18C83">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建筑物气密性是影响建筑供暖能耗和空调能耗的重要因素，对实现超低能耗建筑目标来说，由于其极低的能耗指标，由单纯围护结构传热导致的能耗已较小，这种条件下造成气密性对能耗的比例大幅提升，因此建筑气密性能更为重要。良好的气密性可以减少冬季冷风渗透，降低夏季非受控通风导致的供冷需求增加，避免湿气侵入造成的建筑发霉、结露和损坏，减少室外噪声和室外空气污染等不良因素对室内环境的影响，提高使用者的生活品质。建筑围护结构气密层应连续并包围整个气密区域。</w:t>
      </w:r>
    </w:p>
    <w:p w14:paraId="013D684C">
      <w:pPr>
        <w:pStyle w:val="362"/>
        <w:tabs>
          <w:tab w:val="left" w:pos="420"/>
        </w:tabs>
        <w:overflowPunct w:val="0"/>
        <w:rPr>
          <w:rFonts w:hint="eastAsia"/>
          <w:lang w:val="en-US" w:eastAsia="zh-CN"/>
        </w:rPr>
      </w:pPr>
      <w:r>
        <w:rPr>
          <w:rFonts w:hint="eastAsia" w:ascii="Times New Roman" w:hAnsi="Times New Roman" w:cs="Times New Roman"/>
          <w:color w:val="0000FF"/>
          <w:szCs w:val="21"/>
        </w:rPr>
        <w:t>气密层是由防水隔（透）汽材料、抹灰层、气密性部件等形成的防止空气渗漏的连续构造层。常规的钢筋混凝构造、砌体构造结合不低于15mm的连续抹灰层、具有气密性能的门窗、气密膜等均可作为气密层，且不同材料连接缝隙及墙体拐角等部位应采取防开裂措施。</w:t>
      </w:r>
    </w:p>
    <w:p w14:paraId="082AD71D">
      <w:pPr>
        <w:pStyle w:val="277"/>
        <w:numPr>
          <w:ilvl w:val="2"/>
          <w:numId w:val="38"/>
        </w:numPr>
        <w:spacing w:before="0" w:beforeLines="0" w:after="0" w:afterLines="0"/>
        <w:rPr>
          <w:rFonts w:hint="default" w:hAnsi="黑体" w:eastAsia="宋体"/>
          <w:lang w:val="en-US" w:eastAsia="zh-CN"/>
        </w:rPr>
      </w:pPr>
      <w:r>
        <w:rPr>
          <w:rFonts w:hint="default" w:hAnsi="黑体" w:eastAsia="宋体"/>
          <w:lang w:val="en-US" w:eastAsia="zh-CN"/>
        </w:rPr>
        <w:t>装配式结构构件拼缝部位应采取气密性保障措施；钢结构体系中构件之间、钢构件与墙板、楼面板的拼缝应采取耐久性密封措施。</w:t>
      </w:r>
    </w:p>
    <w:p w14:paraId="25E0EC33">
      <w:pPr>
        <w:pStyle w:val="277"/>
        <w:numPr>
          <w:ilvl w:val="2"/>
          <w:numId w:val="38"/>
        </w:numPr>
        <w:spacing w:before="0" w:beforeLines="0" w:after="0" w:afterLines="0"/>
        <w:rPr>
          <w:rFonts w:hint="default" w:hAnsi="黑体" w:eastAsia="宋体"/>
          <w:lang w:val="en-US" w:eastAsia="zh-CN"/>
        </w:rPr>
      </w:pPr>
      <w:r>
        <w:rPr>
          <w:rFonts w:hint="default" w:hAnsi="黑体" w:eastAsia="宋体"/>
          <w:lang w:val="en-US" w:eastAsia="zh-CN"/>
        </w:rPr>
        <w:t>外围护结构各类贯穿性洞口应采取气密性加强措施，穿气密层的机电系统管线交接部位应采用耐久性良好的密封材料密封。</w:t>
      </w:r>
    </w:p>
    <w:p w14:paraId="76C67242">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【条文说明】围护结构洞口、管线、管道贯穿处等部位不仅仅是容易产生热桥的部位，同时也是容易产生空气渗透的部位，其气密性的节点设计应配合产品和安装方式进行设计和施工。</w:t>
      </w:r>
    </w:p>
    <w:p w14:paraId="6F91DFC8">
      <w:pPr>
        <w:pStyle w:val="277"/>
        <w:numPr>
          <w:ilvl w:val="2"/>
          <w:numId w:val="38"/>
        </w:numPr>
        <w:spacing w:before="0" w:beforeLines="0" w:after="0" w:afterLines="0"/>
        <w:rPr>
          <w:rFonts w:hint="default" w:hAnsi="黑体" w:eastAsia="宋体"/>
          <w:lang w:val="en-US" w:eastAsia="zh-CN"/>
        </w:rPr>
      </w:pPr>
      <w:r>
        <w:rPr>
          <w:rFonts w:hint="default" w:hAnsi="黑体" w:eastAsia="宋体"/>
          <w:lang w:val="en-US" w:eastAsia="zh-CN"/>
        </w:rPr>
        <w:t>开关、插座、接线盒、消火栓等宜避免设置在有气密要求的墙体，若必须设置，应采取气密性加强措施。</w:t>
      </w:r>
    </w:p>
    <w:p w14:paraId="19B931EC">
      <w:pPr>
        <w:pStyle w:val="277"/>
        <w:numPr>
          <w:ilvl w:val="2"/>
          <w:numId w:val="38"/>
        </w:numPr>
        <w:spacing w:before="0" w:beforeLines="0" w:after="0" w:afterLines="0"/>
        <w:rPr>
          <w:rFonts w:hint="default" w:hAnsi="黑体" w:eastAsia="宋体"/>
          <w:lang w:val="en-US" w:eastAsia="zh-CN"/>
        </w:rPr>
      </w:pPr>
      <w:r>
        <w:rPr>
          <w:rFonts w:hint="default" w:hAnsi="黑体" w:eastAsia="宋体"/>
          <w:lang w:val="en-US" w:eastAsia="zh-CN"/>
        </w:rPr>
        <w:t>建筑设计应避免电梯井道穿越气密性单元边界，若必须穿越，宜采取封闭电梯厅等具有气密分隔作用的设计或气密性加强的构造措施。</w:t>
      </w:r>
    </w:p>
    <w:p w14:paraId="71989189">
      <w:pPr>
        <w:pStyle w:val="277"/>
        <w:numPr>
          <w:ilvl w:val="2"/>
          <w:numId w:val="38"/>
        </w:numPr>
        <w:spacing w:before="0" w:beforeLines="0" w:after="0" w:afterLines="0"/>
        <w:rPr>
          <w:rFonts w:hint="default" w:ascii="Times New Roman" w:hAnsi="Times New Roman" w:cs="Times New Roman"/>
          <w:lang w:val="en-US" w:eastAsia="zh-CN"/>
        </w:rPr>
      </w:pPr>
      <w:r>
        <w:rPr>
          <w:rStyle w:val="698"/>
          <w:rFonts w:hint="default" w:ascii="Times New Roman" w:hAnsi="Times New Roman" w:eastAsia="宋体" w:cs="Times New Roman"/>
          <w:color w:val="auto"/>
        </w:rPr>
        <w:t>外窗气密性能不应低于</w:t>
      </w:r>
      <w:r>
        <w:rPr>
          <w:rStyle w:val="698"/>
          <w:rFonts w:hint="default" w:ascii="Times New Roman" w:hAnsi="Times New Roman" w:eastAsia="宋体" w:cs="Times New Roman"/>
          <w:color w:val="auto"/>
          <w:lang w:val="en-US" w:eastAsia="zh-CN"/>
        </w:rPr>
        <w:t>8</w:t>
      </w:r>
      <w:r>
        <w:rPr>
          <w:rStyle w:val="698"/>
          <w:rFonts w:hint="default" w:ascii="Times New Roman" w:hAnsi="Times New Roman" w:eastAsia="宋体" w:cs="Times New Roman"/>
          <w:color w:val="auto"/>
        </w:rPr>
        <w:t>级，幕墙气密性能不应低于4级，外门气密性能不宜低于6级。</w:t>
      </w:r>
    </w:p>
    <w:p w14:paraId="1E315FDE">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【条文说明】对超低能耗建筑来说，在正常的设计和施工条件下，外门窗的气密性对建筑整体的气密性影响较大，做好外门窗的气密性是实现建筑整体气密性目标的基础之一。</w:t>
      </w:r>
    </w:p>
    <w:p w14:paraId="6E0AE722">
      <w:pPr>
        <w:pStyle w:val="277"/>
        <w:numPr>
          <w:ilvl w:val="2"/>
          <w:numId w:val="38"/>
        </w:numPr>
        <w:spacing w:before="0" w:beforeLines="0" w:after="0" w:afterLines="0"/>
        <w:rPr>
          <w:rFonts w:hint="default"/>
          <w:lang w:val="en-US" w:eastAsia="zh-CN"/>
        </w:rPr>
      </w:pPr>
      <w:r>
        <w:rPr>
          <w:rStyle w:val="698"/>
          <w:rFonts w:hint="eastAsia" w:ascii="宋体" w:hAnsi="宋体" w:eastAsia="宋体"/>
          <w:color w:val="auto"/>
        </w:rPr>
        <w:t>当建筑出入口采用旋转门、自动平移门、地弹门等自身不具有气密性的外门时，应通过设置门斗、门套、双层门等设计或构造形式加强气密性。</w:t>
      </w:r>
    </w:p>
    <w:p w14:paraId="6C27BA2A">
      <w:pPr>
        <w:pStyle w:val="277"/>
        <w:numPr>
          <w:ilvl w:val="2"/>
          <w:numId w:val="38"/>
        </w:numPr>
        <w:spacing w:before="0" w:beforeLines="0" w:after="0" w:afterLines="0"/>
        <w:rPr>
          <w:rFonts w:hint="default" w:hAnsi="黑体" w:eastAsia="宋体"/>
          <w:lang w:val="en-US" w:eastAsia="zh-CN"/>
        </w:rPr>
      </w:pPr>
      <w:r>
        <w:rPr>
          <w:rFonts w:hint="default" w:hAnsi="黑体" w:eastAsia="宋体"/>
          <w:lang w:val="en-US" w:eastAsia="zh-CN"/>
        </w:rPr>
        <w:t>外窗（包括透明幕墙）与结构墙体之间的缝隙应采用耐久性良好的密封材料密封。采用防水隔（透）汽材料时，应满足下列要求：</w:t>
      </w:r>
    </w:p>
    <w:p w14:paraId="5DBD4EFA">
      <w:pPr>
        <w:overflowPunct w:val="0"/>
        <w:ind w:firstLine="420"/>
        <w:rPr>
          <w:rFonts w:ascii="宋体" w:hAnsi="宋体" w:cs="宋体"/>
          <w:szCs w:val="21"/>
        </w:rPr>
      </w:pPr>
      <w:r>
        <w:rPr>
          <w:rFonts w:hint="eastAsia" w:hAnsi="Times New Roman" w:cs="Times New Roman"/>
          <w:szCs w:val="22"/>
          <w:lang w:val="en-US" w:eastAsia="zh-CN"/>
        </w:rPr>
        <w:t>1.</w:t>
      </w:r>
      <w:r>
        <w:rPr>
          <w:rFonts w:hint="eastAsia" w:ascii="宋体" w:hAnsi="宋体" w:cs="宋体"/>
          <w:szCs w:val="21"/>
        </w:rPr>
        <w:t>防水隔（透）汽材料与门窗框粘贴宽度不应小于</w:t>
      </w:r>
      <w:r>
        <w:rPr>
          <w:rFonts w:ascii="Times New Roman" w:hAnsi="Times New Roman" w:cs="Times New Roman"/>
          <w:szCs w:val="21"/>
        </w:rPr>
        <w:t>15mm</w:t>
      </w:r>
      <w:r>
        <w:rPr>
          <w:rFonts w:hint="eastAsia" w:ascii="宋体" w:hAnsi="宋体" w:cs="宋体"/>
          <w:szCs w:val="21"/>
        </w:rPr>
        <w:t>，粘贴应紧密，无起鼓漏气现象；</w:t>
      </w:r>
    </w:p>
    <w:p w14:paraId="0D0C659F">
      <w:pPr>
        <w:overflowPunct w:val="0"/>
        <w:ind w:firstLine="420"/>
        <w:rPr>
          <w:rFonts w:ascii="宋体" w:hAnsi="宋体" w:cs="宋体"/>
          <w:szCs w:val="21"/>
        </w:rPr>
      </w:pPr>
      <w:r>
        <w:rPr>
          <w:rFonts w:ascii="黑体" w:hAnsi="黑体" w:cs="宋体"/>
          <w:szCs w:val="21"/>
        </w:rPr>
        <w:t>2</w:t>
      </w:r>
      <w:r>
        <w:rPr>
          <w:rFonts w:hint="eastAsia" w:ascii="宋体" w:hAnsi="宋体" w:cs="宋体"/>
          <w:szCs w:val="21"/>
          <w:lang w:val="en-US" w:eastAsia="zh-CN"/>
        </w:rPr>
        <w:t>.</w:t>
      </w:r>
      <w:r>
        <w:rPr>
          <w:rFonts w:hint="eastAsia" w:ascii="宋体" w:hAnsi="宋体" w:cs="宋体"/>
          <w:szCs w:val="21"/>
        </w:rPr>
        <w:t>防水隔（透）汽材料与基层墙体粘贴宽度不应小于</w:t>
      </w:r>
      <w:r>
        <w:rPr>
          <w:rFonts w:ascii="Times New Roman" w:hAnsi="Times New Roman" w:cs="Times New Roman"/>
          <w:szCs w:val="21"/>
        </w:rPr>
        <w:t>50mm</w:t>
      </w:r>
      <w:r>
        <w:rPr>
          <w:rFonts w:hint="eastAsia" w:ascii="宋体" w:hAnsi="宋体" w:cs="宋体"/>
          <w:szCs w:val="21"/>
        </w:rPr>
        <w:t>，粘贴密实，无起鼓漏气现象；</w:t>
      </w:r>
    </w:p>
    <w:p w14:paraId="69E52C41">
      <w:pPr>
        <w:overflowPunct w:val="0"/>
        <w:ind w:firstLine="420"/>
        <w:rPr>
          <w:rFonts w:ascii="宋体" w:hAnsi="宋体" w:cs="宋体"/>
          <w:szCs w:val="21"/>
        </w:rPr>
      </w:pPr>
      <w:r>
        <w:rPr>
          <w:rFonts w:ascii="黑体" w:hAnsi="黑体" w:cs="宋体"/>
          <w:szCs w:val="21"/>
        </w:rPr>
        <w:t>3</w:t>
      </w:r>
      <w:r>
        <w:rPr>
          <w:rFonts w:hint="eastAsia" w:ascii="宋体" w:hAnsi="宋体" w:cs="宋体"/>
          <w:szCs w:val="21"/>
          <w:lang w:val="en-US" w:eastAsia="zh-CN"/>
        </w:rPr>
        <w:t>.</w:t>
      </w:r>
      <w:r>
        <w:rPr>
          <w:rFonts w:hint="eastAsia" w:ascii="宋体" w:hAnsi="宋体" w:cs="宋体"/>
          <w:szCs w:val="21"/>
        </w:rPr>
        <w:t>防水隔（透）汽材料不宜直接粘贴在保温层上；</w:t>
      </w:r>
    </w:p>
    <w:p w14:paraId="231517B1">
      <w:pPr>
        <w:overflowPunct w:val="0"/>
        <w:ind w:firstLine="420"/>
        <w:rPr>
          <w:rFonts w:hint="eastAsia" w:ascii="宋体" w:hAnsi="宋体" w:cs="宋体"/>
          <w:szCs w:val="21"/>
        </w:rPr>
      </w:pPr>
      <w:r>
        <w:rPr>
          <w:rFonts w:ascii="黑体" w:hAnsi="黑体" w:cs="宋体"/>
          <w:szCs w:val="21"/>
        </w:rPr>
        <w:t>4</w:t>
      </w:r>
      <w:r>
        <w:rPr>
          <w:rFonts w:hint="eastAsia" w:ascii="宋体" w:hAnsi="宋体" w:cs="宋体"/>
          <w:szCs w:val="21"/>
          <w:lang w:val="en-US" w:eastAsia="zh-CN"/>
        </w:rPr>
        <w:t>.</w:t>
      </w:r>
      <w:r>
        <w:rPr>
          <w:rFonts w:hint="eastAsia" w:ascii="宋体" w:hAnsi="宋体" w:cs="宋体"/>
          <w:szCs w:val="21"/>
        </w:rPr>
        <w:t>防水隔（透）汽材料表面应使用适当厚度的材料进行隐蔽覆盖。</w:t>
      </w:r>
    </w:p>
    <w:p w14:paraId="0D88A315">
      <w:pPr>
        <w:pStyle w:val="362"/>
        <w:tabs>
          <w:tab w:val="left" w:pos="420"/>
        </w:tabs>
        <w:overflowPunct w:val="0"/>
        <w:ind w:firstLine="0" w:firstLineChars="0"/>
        <w:rPr>
          <w:rFonts w:hint="eastAsia" w:ascii="Times New Roman" w:hAnsi="Times New Roman" w:cs="Times New Roman"/>
          <w:color w:val="0000FF"/>
          <w:szCs w:val="21"/>
        </w:rPr>
      </w:pPr>
      <w:r>
        <w:rPr>
          <w:rFonts w:hint="eastAsia" w:ascii="Times New Roman" w:hAnsi="Times New Roman" w:cs="Times New Roman"/>
          <w:color w:val="0000FF"/>
          <w:szCs w:val="21"/>
        </w:rPr>
        <w:t>【条文说明】本条针对防水隔（透）汽材料的应用提出设计要求。粘贴防水隔汽（透汽）材料时，应将防水隔汽（透汽）材料粘贴于门窗框上，此部位较为平整，且容易实现，要求粘贴最小宽度为 15mm；防水隔汽（透汽）材料与基层墙体粘贴时宜出现褶皱、粘贴不牢等问题，因此要求50mm的粘贴宽度，材料自身搭接长度为 50mm；防水隔汽材料粘贴时，应在门窗型材角部留出余量，避免出现由于防水隔汽材料余量不足导致的与门窗洞口侧墙无法粘贴密实等问题。防水隔（透）汽膜施工环境温度宜在0℃以上。</w:t>
      </w:r>
    </w:p>
    <w:p w14:paraId="61807C41">
      <w:pPr>
        <w:pStyle w:val="277"/>
        <w:numPr>
          <w:ilvl w:val="2"/>
          <w:numId w:val="38"/>
        </w:numPr>
        <w:spacing w:before="0" w:beforeLines="0" w:after="0" w:afterLines="0"/>
        <w:rPr>
          <w:rStyle w:val="698"/>
          <w:rFonts w:hint="eastAsia" w:ascii="宋体" w:hAnsi="宋体" w:eastAsia="宋体"/>
          <w:color w:val="auto"/>
        </w:rPr>
      </w:pPr>
      <w:r>
        <w:rPr>
          <w:rStyle w:val="698"/>
          <w:rFonts w:hint="eastAsia" w:ascii="宋体" w:hAnsi="宋体" w:eastAsia="宋体"/>
          <w:color w:val="auto"/>
        </w:rPr>
        <w:t>外墙热桥处理应符合下列规定：</w:t>
      </w:r>
    </w:p>
    <w:p w14:paraId="469FDD01">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1.外围护结构的保温层宜连续完整；</w:t>
      </w:r>
    </w:p>
    <w:p w14:paraId="237EB3E0">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2.外墙上固定导轨、龙骨、支架等可能导致热桥的部件时，应在外墙上设置具有断热桥作用的锚固件，或采用减少接触面积、增加隔热间层、使用非金属材料等措施；</w:t>
      </w:r>
    </w:p>
    <w:p w14:paraId="02DAA947">
      <w:pPr>
        <w:overflowPunct w:val="0"/>
        <w:ind w:firstLine="420"/>
        <w:rPr>
          <w:rFonts w:hint="default" w:hAnsi="Times New Roman" w:cs="Times New Roman"/>
          <w:szCs w:val="22"/>
          <w:lang w:val="en-US" w:eastAsia="zh-CN"/>
        </w:rPr>
      </w:pPr>
      <w:r>
        <w:rPr>
          <w:rFonts w:hint="eastAsia" w:hAnsi="Times New Roman" w:cs="Times New Roman"/>
          <w:szCs w:val="22"/>
          <w:lang w:val="en-US" w:eastAsia="zh-CN"/>
        </w:rPr>
        <w:t>3.当外墙采用幕墙系统时，幕墙龙骨不宜占用保温层位置或打断保温层，否则应在龙骨处加强保温措施。</w:t>
      </w:r>
    </w:p>
    <w:p w14:paraId="098B6B52">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【条文说明】本条对外墙易出现的主要热桥部位做出了明确要求和处理措施指导。</w:t>
      </w:r>
    </w:p>
    <w:p w14:paraId="1613AFDA">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1.外墙突出构件宜采用完全包裹的方式，其保温层宜与相邻墙面、屋面保温层连续设置。</w:t>
      </w:r>
    </w:p>
    <w:p w14:paraId="5A9C9AA5">
      <w:pPr>
        <w:pStyle w:val="362"/>
        <w:tabs>
          <w:tab w:val="left" w:pos="420"/>
        </w:tabs>
        <w:overflowPunct w:val="0"/>
        <w:rPr>
          <w:rFonts w:hint="eastAsia" w:ascii="Times New Roman" w:hAnsi="Times New Roman" w:cs="Times New Roman"/>
          <w:color w:val="0000FF"/>
          <w:szCs w:val="21"/>
        </w:rPr>
      </w:pPr>
      <w:r>
        <w:rPr>
          <w:rFonts w:hint="eastAsia" w:ascii="Times New Roman" w:hAnsi="Times New Roman" w:cs="Times New Roman"/>
          <w:color w:val="0000FF"/>
          <w:szCs w:val="21"/>
        </w:rPr>
        <w:t>3.传统的非透明幕墙系统中保温填充在每樘幕墙两个龙骨之间，故保温层被龙骨打断；超低能耗建筑要求对龙骨部位的热桥进行处理，如对龙骨用保温材料填充或包覆；宜将龙骨部位的热桥影响计入外墙加权平均传热系数中。</w:t>
      </w:r>
    </w:p>
    <w:p w14:paraId="016F23C5">
      <w:pPr>
        <w:pStyle w:val="277"/>
        <w:numPr>
          <w:ilvl w:val="2"/>
          <w:numId w:val="38"/>
        </w:numPr>
        <w:spacing w:before="0" w:beforeLines="0" w:after="0" w:afterLines="0"/>
        <w:rPr>
          <w:rStyle w:val="698"/>
          <w:rFonts w:hint="eastAsia" w:ascii="宋体" w:hAnsi="宋体" w:eastAsia="宋体"/>
          <w:color w:val="auto"/>
        </w:rPr>
      </w:pPr>
      <w:r>
        <w:rPr>
          <w:rStyle w:val="698"/>
          <w:rFonts w:hint="eastAsia" w:ascii="宋体" w:hAnsi="宋体" w:eastAsia="宋体"/>
          <w:color w:val="auto"/>
        </w:rPr>
        <w:t>屋面热桥处理应符合下列规定：</w:t>
      </w:r>
    </w:p>
    <w:p w14:paraId="25414F0F">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1.外墙采用外保温系统时，屋面保温层宜与外墙保温层连续；</w:t>
      </w:r>
    </w:p>
    <w:p w14:paraId="57C57A05">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2.采用分层保温材料时，应分层错缝铺贴，各层应有粘结固定；</w:t>
      </w:r>
    </w:p>
    <w:p w14:paraId="7AD779D6">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3.金属屋面、木屋面等轻质屋面，应在保温层靠室外侧设置防水层、结构层下方设置隔汽层；</w:t>
      </w:r>
    </w:p>
    <w:p w14:paraId="71D9A5D8">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4.采用正置式保温的屋面，结构层上、保温层下应设置隔汽层；采用倒置式保温的屋面，保温层靠近室外一侧应设置防水层，防水层应延续到女儿墙顶部盖板内；</w:t>
      </w:r>
    </w:p>
    <w:p w14:paraId="56DE846F">
      <w:pPr>
        <w:overflowPunct w:val="0"/>
        <w:ind w:firstLine="420"/>
        <w:rPr>
          <w:rFonts w:hint="eastAsia" w:hAnsi="Times New Roman" w:cs="Times New Roman"/>
          <w:szCs w:val="22"/>
          <w:lang w:val="en-US" w:eastAsia="zh-CN"/>
        </w:rPr>
      </w:pPr>
      <w:r>
        <w:rPr>
          <w:rFonts w:hint="eastAsia" w:hAnsi="Times New Roman" w:cs="Times New Roman"/>
          <w:szCs w:val="22"/>
          <w:lang w:val="en-US" w:eastAsia="zh-CN"/>
        </w:rPr>
        <w:t>5.对女儿墙、设备基础、屋面构架、管井、出入口台阶等突出屋面的结构体，应考虑避免热桥的保温措施，应采用保温材料全部包覆，其保温层应与屋面、墙面保温层连续。女儿墙顶部、土建风道出风口顶部宜设置金属盖板，金属盖板与结构连接部位应采取避免热桥的措施；设备基础处与设备支撑件应做断热处理；</w:t>
      </w:r>
    </w:p>
    <w:p w14:paraId="62D1BD57">
      <w:pPr>
        <w:overflowPunct w:val="0"/>
        <w:ind w:firstLine="420"/>
        <w:rPr>
          <w:rFonts w:hint="default" w:hAnsi="Times New Roman" w:cs="Times New Roman"/>
          <w:szCs w:val="22"/>
          <w:lang w:val="en-US" w:eastAsia="zh-CN"/>
        </w:rPr>
      </w:pPr>
      <w:r>
        <w:rPr>
          <w:rFonts w:hint="eastAsia" w:hAnsi="Times New Roman" w:cs="Times New Roman"/>
          <w:szCs w:val="22"/>
          <w:lang w:val="en-US" w:eastAsia="zh-CN"/>
        </w:rPr>
        <w:t>6.穿屋面管道、落水管与预留洞口之间应预留保温空间，穿屋面管道应设置套管进行保护；套管（或屋面结构主体）与管道间应填充保温材料，并做好密封防水措施。</w:t>
      </w:r>
    </w:p>
    <w:p w14:paraId="6C0E507B">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【条文说明】本条对屋面易出现的主要热桥部位做出了明确要求和处理措施指导。</w:t>
      </w:r>
    </w:p>
    <w:p w14:paraId="1D36DB7B">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1.屋面与外墙连接处一般为保温薄弱部位，并且热桥长度大、对围护结构影响大。对于屋面和外墙保温层无法连续的情况，</w:t>
      </w:r>
      <w:r>
        <w:rPr>
          <w:rFonts w:hint="eastAsia" w:ascii="Times New Roman" w:hAnsi="Times New Roman" w:cs="Times New Roman"/>
          <w:color w:val="0000FF"/>
          <w:szCs w:val="21"/>
          <w:lang w:val="en-US" w:eastAsia="zh-CN"/>
        </w:rPr>
        <w:t>宜</w:t>
      </w:r>
      <w:r>
        <w:rPr>
          <w:rFonts w:hint="eastAsia" w:ascii="Times New Roman" w:hAnsi="Times New Roman" w:cs="Times New Roman"/>
          <w:color w:val="0000FF"/>
          <w:szCs w:val="21"/>
        </w:rPr>
        <w:t>进行附加保温处理，必要时进行内表面结露验算；其热桥传热系数宜计入外墙加权平均传热系数中。</w:t>
      </w:r>
    </w:p>
    <w:p w14:paraId="134F534B">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3.</w:t>
      </w:r>
      <w:r>
        <w:rPr>
          <w:rFonts w:hint="eastAsia" w:cs="Times New Roman"/>
          <w:color w:val="0000FF"/>
          <w:szCs w:val="21"/>
          <w:lang w:val="en-US" w:eastAsia="zh-CN"/>
        </w:rPr>
        <w:t>武汉</w:t>
      </w:r>
      <w:r>
        <w:rPr>
          <w:rFonts w:hint="eastAsia" w:ascii="Times New Roman" w:hAnsi="Times New Roman" w:cs="Times New Roman"/>
          <w:color w:val="0000FF"/>
          <w:szCs w:val="21"/>
        </w:rPr>
        <w:t>降水丰沛，屋面渗漏水是建筑工程中最常见的质量问题之一。超低能耗建筑对保温性能要求高，屋面保温浸水后其保温隔热性能将显著降低，因此对于保温较厚的屋面，宜在保温上方增设一道防水层，以加强屋面整体的保温防水性能。同时，考虑施工过程导致的屋面保温积水浸水问题，建议保温层下方设置至少一道防水层，或具有防水作用的隔汽层，并在保温层积水排尽后再施工保温层上方的防水层。</w:t>
      </w:r>
    </w:p>
    <w:p w14:paraId="29F722D4">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4.金属屋面、木结构屋面等轻质屋面，由于结构自身无法阻挡水汽穿透，故应在保温层下方设置隔汽层；</w:t>
      </w:r>
    </w:p>
    <w:p w14:paraId="5ECD73EB">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5.女儿墙和风道出风口的顶部常年受雨水冲刷，为避免面层老化开裂导致雨水下渗至保温层，建议采用金属盖板等更为可靠的防护面层；如设置混凝土压顶，则压顶部分也需采取热桥处理措施。</w:t>
      </w:r>
    </w:p>
    <w:p w14:paraId="74E53CA7">
      <w:pPr>
        <w:pStyle w:val="362"/>
        <w:tabs>
          <w:tab w:val="left" w:pos="420"/>
        </w:tabs>
        <w:overflowPunct w:val="0"/>
        <w:rPr>
          <w:rFonts w:hint="eastAsia" w:ascii="Times New Roman" w:hAnsi="Times New Roman" w:cs="Times New Roman"/>
          <w:color w:val="0000FF"/>
          <w:szCs w:val="21"/>
        </w:rPr>
      </w:pPr>
      <w:r>
        <w:rPr>
          <w:rFonts w:hint="eastAsia" w:ascii="Times New Roman" w:hAnsi="Times New Roman" w:cs="Times New Roman"/>
          <w:color w:val="0000FF"/>
          <w:szCs w:val="21"/>
        </w:rPr>
        <w:t>6.管洞口设置套管有利于控制施工质量，确保管洞口尺寸稳定，便于安装管道。对于预埋套管，一般与混凝土主体结构同步施工完成，故保温填充在套管与管道之间；对于后置套管，保温可设置在套管与主体结构之间，但必须做好套管与主体结构、套管与管道之间的密封和防水措施。</w:t>
      </w:r>
    </w:p>
    <w:p w14:paraId="5440398C">
      <w:pPr>
        <w:pStyle w:val="277"/>
        <w:numPr>
          <w:ilvl w:val="2"/>
          <w:numId w:val="38"/>
        </w:numPr>
        <w:spacing w:before="0" w:beforeLines="0" w:after="0" w:afterLines="0"/>
        <w:rPr>
          <w:rStyle w:val="698"/>
          <w:rFonts w:hint="eastAsia" w:ascii="宋体" w:hAnsi="宋体" w:eastAsia="宋体"/>
          <w:color w:val="auto"/>
        </w:rPr>
      </w:pPr>
      <w:r>
        <w:rPr>
          <w:rStyle w:val="698"/>
          <w:rFonts w:hint="eastAsia" w:ascii="宋体" w:hAnsi="宋体" w:eastAsia="宋体"/>
          <w:color w:val="auto"/>
        </w:rPr>
        <w:t>外门窗、透明幕墙及其遮阳设施热桥处理应符合下列规定：</w:t>
      </w:r>
    </w:p>
    <w:p w14:paraId="2C3E54D8">
      <w:pPr>
        <w:pStyle w:val="258"/>
        <w:rPr>
          <w:rFonts w:hint="default" w:ascii="Times New Roman" w:hAnsi="Times New Roman" w:eastAsia="宋体" w:cs="Times New Roman"/>
          <w:lang w:eastAsia="zh-CN"/>
        </w:rPr>
      </w:pPr>
      <w:r>
        <w:rPr>
          <w:rFonts w:hint="default" w:ascii="Times New Roman" w:hAnsi="Times New Roman" w:cs="Times New Roman"/>
        </w:rPr>
        <w:t>1</w:t>
      </w:r>
      <w:r>
        <w:rPr>
          <w:rFonts w:hint="default" w:ascii="Times New Roman" w:hAnsi="Times New Roman" w:cs="Times New Roman"/>
          <w:lang w:val="en-US" w:eastAsia="zh-CN"/>
        </w:rPr>
        <w:t>.</w:t>
      </w:r>
      <w:r>
        <w:rPr>
          <w:rFonts w:hint="default" w:ascii="Times New Roman" w:hAnsi="Times New Roman" w:cs="Times New Roman"/>
        </w:rPr>
        <w:t>外门窗应综合考虑节能、防水和安全因素选择安装方式，外窗安装位置宜采用尽量靠近保温层，如采用居中安装应对门窗上下口及侧边进行保温段热桥处理；外门窗应与主体结构进行可靠连接，采取断热桥措施，并应做好防水密封处理</w:t>
      </w:r>
      <w:r>
        <w:rPr>
          <w:rFonts w:hint="default" w:ascii="Times New Roman" w:hAnsi="Times New Roman" w:cs="Times New Roman"/>
          <w:lang w:eastAsia="zh-CN"/>
        </w:rPr>
        <w:t>。</w:t>
      </w:r>
    </w:p>
    <w:p w14:paraId="7F380852">
      <w:pPr>
        <w:pStyle w:val="258"/>
        <w:rPr>
          <w:rFonts w:hint="default" w:ascii="Times New Roman" w:hAnsi="Times New Roman" w:eastAsia="宋体" w:cs="Times New Roman"/>
          <w:lang w:eastAsia="zh-CN"/>
        </w:rPr>
      </w:pPr>
      <w:r>
        <w:rPr>
          <w:rFonts w:hint="default" w:ascii="Times New Roman" w:hAnsi="Times New Roman" w:cs="Times New Roman"/>
        </w:rPr>
        <w:t>2</w:t>
      </w:r>
      <w:r>
        <w:rPr>
          <w:rFonts w:hint="default" w:ascii="Times New Roman" w:hAnsi="Times New Roman" w:cs="Times New Roman"/>
          <w:lang w:val="en-US" w:eastAsia="zh-CN"/>
        </w:rPr>
        <w:t>.</w:t>
      </w:r>
      <w:r>
        <w:rPr>
          <w:rFonts w:hint="default" w:ascii="Times New Roman" w:hAnsi="Times New Roman" w:cs="Times New Roman"/>
        </w:rPr>
        <w:t>外门窗安装用节能型附框，可采用木塑附框、钢塑复合附框、玻纤增强塑料附框、玻纤增强聚氨酯附框等类型，节能附框的性能指标应符合现行国家标准《建筑门窗附框技术要求》GB/T39866的规定，带窗洞预制外墙宜在窗洞位置预埋节能附框，附框成品截面宽度方向热阻应不小于0.28（m</w:t>
      </w:r>
      <w:r>
        <w:rPr>
          <w:rFonts w:hint="default" w:ascii="Times New Roman" w:hAnsi="Times New Roman" w:cs="Times New Roman"/>
          <w:vertAlign w:val="superscript"/>
        </w:rPr>
        <w:t>2</w:t>
      </w:r>
      <w:r>
        <w:rPr>
          <w:rFonts w:hint="default" w:ascii="Times New Roman" w:hAnsi="Times New Roman" w:cs="Times New Roman"/>
        </w:rPr>
        <w:t>·K）/W</w:t>
      </w:r>
      <w:r>
        <w:rPr>
          <w:rFonts w:hint="default" w:ascii="Times New Roman" w:hAnsi="Times New Roman" w:cs="Times New Roman"/>
          <w:lang w:eastAsia="zh-CN"/>
        </w:rPr>
        <w:t>。</w:t>
      </w:r>
    </w:p>
    <w:p w14:paraId="24DB01DA">
      <w:pPr>
        <w:pStyle w:val="258"/>
        <w:rPr>
          <w:rFonts w:hint="default" w:ascii="Times New Roman" w:hAnsi="Times New Roman" w:eastAsia="宋体" w:cs="Times New Roman"/>
          <w:lang w:eastAsia="zh-CN"/>
        </w:rPr>
      </w:pPr>
      <w:r>
        <w:rPr>
          <w:rFonts w:hint="default" w:ascii="Times New Roman" w:hAnsi="Times New Roman" w:cs="Times New Roman"/>
        </w:rPr>
        <w:t>3</w:t>
      </w:r>
      <w:r>
        <w:rPr>
          <w:rFonts w:hint="default" w:ascii="Times New Roman" w:hAnsi="Times New Roman" w:cs="Times New Roman"/>
          <w:lang w:val="en-US" w:eastAsia="zh-CN"/>
        </w:rPr>
        <w:t>.</w:t>
      </w:r>
      <w:r>
        <w:rPr>
          <w:rFonts w:hint="default" w:ascii="Times New Roman" w:hAnsi="Times New Roman" w:cs="Times New Roman"/>
        </w:rPr>
        <w:t>外门窗洞口内侧边应设置保温层并与外墙保温形成连续整体，保温层厚度不应小于20mm</w:t>
      </w:r>
      <w:r>
        <w:rPr>
          <w:rFonts w:hint="default" w:ascii="Times New Roman" w:hAnsi="Times New Roman" w:cs="Times New Roman"/>
          <w:lang w:eastAsia="zh-CN"/>
        </w:rPr>
        <w:t>。</w:t>
      </w:r>
    </w:p>
    <w:p w14:paraId="20CA543F">
      <w:pPr>
        <w:pStyle w:val="258"/>
        <w:rPr>
          <w:rFonts w:hint="default" w:ascii="Times New Roman" w:hAnsi="Times New Roman" w:eastAsia="宋体" w:cs="Times New Roman"/>
          <w:lang w:eastAsia="zh-CN"/>
        </w:rPr>
      </w:pPr>
      <w:r>
        <w:rPr>
          <w:rFonts w:hint="default" w:ascii="Times New Roman" w:hAnsi="Times New Roman" w:cs="Times New Roman"/>
        </w:rPr>
        <w:t>4</w:t>
      </w:r>
      <w:r>
        <w:rPr>
          <w:rFonts w:hint="default" w:ascii="Times New Roman" w:hAnsi="Times New Roman" w:cs="Times New Roman"/>
          <w:lang w:val="en-US" w:eastAsia="zh-CN"/>
        </w:rPr>
        <w:t>.</w:t>
      </w:r>
      <w:r>
        <w:rPr>
          <w:rFonts w:hint="default" w:ascii="Times New Roman" w:hAnsi="Times New Roman" w:cs="Times New Roman"/>
        </w:rPr>
        <w:t>外窗洞口宜设置金属窗台板对保温层进行保护。金属窗台板与窗框之间应有结构性连接，并采取密封措施；金属窗台板两端及底部与外墙保温层的接缝处应采取密封措施</w:t>
      </w:r>
      <w:r>
        <w:rPr>
          <w:rFonts w:hint="default" w:ascii="Times New Roman" w:hAnsi="Times New Roman" w:cs="Times New Roman"/>
          <w:lang w:eastAsia="zh-CN"/>
        </w:rPr>
        <w:t>。</w:t>
      </w:r>
    </w:p>
    <w:p w14:paraId="70C89402">
      <w:pPr>
        <w:pStyle w:val="258"/>
        <w:rPr>
          <w:rFonts w:hint="default" w:ascii="Times New Roman" w:hAnsi="Times New Roman" w:cs="Times New Roman"/>
          <w:lang w:eastAsia="zh-CN"/>
        </w:rPr>
      </w:pPr>
      <w:r>
        <w:rPr>
          <w:rFonts w:hint="default" w:ascii="Times New Roman" w:hAnsi="Times New Roman" w:cs="Times New Roman"/>
        </w:rPr>
        <w:t>5</w:t>
      </w:r>
      <w:r>
        <w:rPr>
          <w:rFonts w:hint="default" w:ascii="Times New Roman" w:hAnsi="Times New Roman" w:cs="Times New Roman"/>
          <w:lang w:val="en-US" w:eastAsia="zh-CN"/>
        </w:rPr>
        <w:t>.</w:t>
      </w:r>
      <w:r>
        <w:rPr>
          <w:rFonts w:hint="default" w:ascii="Times New Roman" w:hAnsi="Times New Roman" w:cs="Times New Roman"/>
        </w:rPr>
        <w:t>透明幕墙上的局部非透明部分应采用断热构造或设置保温层，其热工性能不应低于透明幕墙部分的热工性能，否则应按面积加权计入幕墙整体传热系数计算中</w:t>
      </w:r>
      <w:r>
        <w:rPr>
          <w:rFonts w:hint="default" w:ascii="Times New Roman" w:hAnsi="Times New Roman" w:cs="Times New Roman"/>
          <w:lang w:eastAsia="zh-CN"/>
        </w:rPr>
        <w:t>。</w:t>
      </w:r>
    </w:p>
    <w:p w14:paraId="7709E085">
      <w:pPr>
        <w:pStyle w:val="277"/>
        <w:numPr>
          <w:ilvl w:val="2"/>
          <w:numId w:val="38"/>
        </w:numPr>
        <w:spacing w:before="0" w:beforeLines="0" w:after="0" w:afterLines="0"/>
        <w:rPr>
          <w:rStyle w:val="698"/>
          <w:rFonts w:hint="eastAsia" w:ascii="宋体" w:hAnsi="宋体" w:eastAsia="宋体"/>
          <w:color w:val="auto"/>
          <w:lang w:eastAsia="zh-CN"/>
        </w:rPr>
      </w:pPr>
      <w:r>
        <w:rPr>
          <w:rStyle w:val="698"/>
          <w:rFonts w:hint="eastAsia" w:ascii="宋体" w:hAnsi="宋体" w:eastAsia="宋体"/>
          <w:color w:val="auto"/>
          <w:lang w:eastAsia="zh-CN"/>
        </w:rPr>
        <w:t>露台、连廊、设备平台、雨棚、挑檐等出挑构件与主体结构的连接应控制热桥效应，热桥处理应符合下列规定：</w:t>
      </w:r>
    </w:p>
    <w:p w14:paraId="080DF553">
      <w:pPr>
        <w:pStyle w:val="258"/>
        <w:rPr>
          <w:rFonts w:hint="eastAsia"/>
          <w:lang w:eastAsia="zh-CN"/>
        </w:rPr>
      </w:pPr>
      <w:r>
        <w:rPr>
          <w:rFonts w:hint="eastAsia"/>
          <w:lang w:eastAsia="zh-CN"/>
        </w:rPr>
        <w:t>1</w:t>
      </w:r>
      <w:r>
        <w:rPr>
          <w:rFonts w:hint="eastAsia"/>
          <w:lang w:val="en-US" w:eastAsia="zh-CN"/>
        </w:rPr>
        <w:t>.</w:t>
      </w:r>
      <w:r>
        <w:rPr>
          <w:rFonts w:hint="eastAsia"/>
          <w:lang w:eastAsia="zh-CN"/>
        </w:rPr>
        <w:t>结构性悬挑、延伸等宜采用与主体结构部分断开的方式；</w:t>
      </w:r>
    </w:p>
    <w:p w14:paraId="40FE83A3">
      <w:pPr>
        <w:pStyle w:val="258"/>
        <w:rPr>
          <w:rFonts w:hint="eastAsia"/>
          <w:lang w:eastAsia="zh-CN"/>
        </w:rPr>
      </w:pPr>
      <w:r>
        <w:rPr>
          <w:rFonts w:hint="eastAsia"/>
          <w:lang w:eastAsia="zh-CN"/>
        </w:rPr>
        <w:t>2</w:t>
      </w:r>
      <w:r>
        <w:rPr>
          <w:rFonts w:hint="eastAsia"/>
          <w:lang w:val="en-US" w:eastAsia="zh-CN"/>
        </w:rPr>
        <w:t>.</w:t>
      </w:r>
      <w:r>
        <w:rPr>
          <w:rFonts w:hint="eastAsia"/>
          <w:lang w:eastAsia="zh-CN"/>
        </w:rPr>
        <w:t>当外墙结构性悬挑、延伸构件与主体结构无法断开时，应对与室外空气接触的主要板面进行保温处理，并确保热桥部位不结露。</w:t>
      </w:r>
    </w:p>
    <w:p w14:paraId="76BCE029">
      <w:pPr>
        <w:pStyle w:val="362"/>
        <w:tabs>
          <w:tab w:val="left" w:pos="420"/>
        </w:tabs>
        <w:overflowPunct w:val="0"/>
        <w:ind w:firstLine="0" w:firstLineChars="0"/>
        <w:rPr>
          <w:rFonts w:ascii="Times New Roman" w:hAnsi="Times New Roman" w:cs="Times New Roman"/>
          <w:color w:val="0000FF"/>
          <w:szCs w:val="21"/>
        </w:rPr>
      </w:pPr>
      <w:r>
        <w:rPr>
          <w:rFonts w:hint="eastAsia" w:ascii="Times New Roman" w:hAnsi="Times New Roman" w:cs="Times New Roman"/>
          <w:color w:val="0000FF"/>
          <w:szCs w:val="21"/>
        </w:rPr>
        <w:t>【条文说明】本条对主要类型的热桥部位做出了明确和处理措施指导。超低能耗建筑热桥的处理方式主要有以下三种：</w:t>
      </w:r>
    </w:p>
    <w:p w14:paraId="43EE8334">
      <w:pPr>
        <w:pStyle w:val="362"/>
        <w:tabs>
          <w:tab w:val="left" w:pos="420"/>
        </w:tabs>
        <w:overflowPunct w:val="0"/>
        <w:rPr>
          <w:rFonts w:hint="eastAsia" w:ascii="Times New Roman" w:hAnsi="Times New Roman" w:eastAsia="宋体" w:cs="Times New Roman"/>
          <w:color w:val="0000FF"/>
          <w:szCs w:val="21"/>
          <w:lang w:eastAsia="zh-CN"/>
        </w:rPr>
      </w:pPr>
      <w:r>
        <w:rPr>
          <w:rFonts w:hint="eastAsia" w:ascii="Times New Roman" w:hAnsi="Times New Roman" w:cs="Times New Roman"/>
          <w:color w:val="0000FF"/>
          <w:szCs w:val="21"/>
        </w:rPr>
        <w:t>（1）减少热桥：通过用保温材料包裹热桥部位，形成连续完整的保温层，减少热桥面积或数量，热桥部位保温性能一般与主体结构部位相近</w:t>
      </w:r>
      <w:r>
        <w:rPr>
          <w:rFonts w:hint="eastAsia" w:cs="Times New Roman"/>
          <w:color w:val="0000FF"/>
          <w:szCs w:val="21"/>
          <w:lang w:eastAsia="zh-CN"/>
        </w:rPr>
        <w:t>。</w:t>
      </w:r>
    </w:p>
    <w:p w14:paraId="2D599FD5">
      <w:pPr>
        <w:pStyle w:val="362"/>
        <w:tabs>
          <w:tab w:val="left" w:pos="420"/>
        </w:tabs>
        <w:overflowPunct w:val="0"/>
        <w:rPr>
          <w:rFonts w:hint="eastAsia" w:ascii="Times New Roman" w:hAnsi="Times New Roman" w:eastAsia="宋体" w:cs="Times New Roman"/>
          <w:color w:val="0000FF"/>
          <w:szCs w:val="21"/>
          <w:lang w:eastAsia="zh-CN"/>
        </w:rPr>
      </w:pPr>
      <w:r>
        <w:rPr>
          <w:rFonts w:hint="eastAsia" w:ascii="Times New Roman" w:hAnsi="Times New Roman" w:cs="Times New Roman"/>
          <w:color w:val="0000FF"/>
          <w:szCs w:val="21"/>
        </w:rPr>
        <w:t>（2）削弱热桥：包裹热桥的保温材料性能低于主体结构，或者当热桥无法用保温材料完全包裹时，热桥部位附加保温材料，可加强热桥部位保温隔热性能，使室内表面温度分布差异减小，达到削弱热桥的效果</w:t>
      </w:r>
      <w:r>
        <w:rPr>
          <w:rFonts w:hint="eastAsia" w:cs="Times New Roman"/>
          <w:color w:val="0000FF"/>
          <w:szCs w:val="21"/>
          <w:lang w:eastAsia="zh-CN"/>
        </w:rPr>
        <w:t>。</w:t>
      </w:r>
    </w:p>
    <w:p w14:paraId="196DA93C">
      <w:pPr>
        <w:pStyle w:val="362"/>
        <w:tabs>
          <w:tab w:val="left" w:pos="420"/>
        </w:tabs>
        <w:overflowPunct w:val="0"/>
        <w:rPr>
          <w:rFonts w:ascii="Times New Roman" w:hAnsi="Times New Roman" w:cs="Times New Roman"/>
          <w:color w:val="0000FF"/>
          <w:szCs w:val="21"/>
        </w:rPr>
      </w:pPr>
      <w:r>
        <w:rPr>
          <w:rFonts w:hint="eastAsia" w:ascii="Times New Roman" w:hAnsi="Times New Roman" w:cs="Times New Roman"/>
          <w:color w:val="0000FF"/>
          <w:szCs w:val="21"/>
        </w:rPr>
        <w:t>（3）阻断热桥：通过用断热桥专用部件或构造，将可能产生热桥的构件与主体结构断开，阻断热量经由非保温材料直接传导的路径，达到缓解热桥效应的作用。热桥部位的保温厚度可通过二维或三维热桥模拟计算确定，对于无法满足热桥保温热阻要求的部位以及其他保温显著薄弱部位，应进行内表面结露验算，当热桥部位仍有结露风险时，应进一步加强保温并重新验算。</w:t>
      </w:r>
    </w:p>
    <w:p w14:paraId="46710BD6">
      <w:pPr>
        <w:pStyle w:val="277"/>
        <w:numPr>
          <w:ilvl w:val="2"/>
          <w:numId w:val="38"/>
        </w:numPr>
        <w:spacing w:before="0" w:beforeLines="0" w:after="0" w:afterLines="0"/>
        <w:rPr>
          <w:rStyle w:val="698"/>
          <w:rFonts w:hint="default" w:ascii="宋体" w:hAnsi="宋体" w:eastAsia="宋体"/>
          <w:color w:val="auto"/>
          <w:lang w:val="en-US" w:eastAsia="zh-CN"/>
        </w:rPr>
      </w:pPr>
      <w:r>
        <w:rPr>
          <w:rStyle w:val="698"/>
          <w:rFonts w:hint="default" w:ascii="宋体" w:hAnsi="宋体" w:eastAsia="宋体"/>
          <w:color w:val="auto"/>
          <w:lang w:val="en-US" w:eastAsia="zh-CN"/>
        </w:rPr>
        <w:t>太阳能系统应进行建筑一体化设计，并对太阳能构件在外围护结构上连接引起的热桥进行阻断处理。</w:t>
      </w:r>
    </w:p>
    <w:p w14:paraId="028DA89C">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【条文说明】本条主要基于以下考虑：</w:t>
      </w:r>
    </w:p>
    <w:p w14:paraId="24313E3F">
      <w:pPr>
        <w:tabs>
          <w:tab w:val="left" w:pos="397"/>
        </w:tabs>
        <w:overflowPunct w:val="0"/>
        <w:ind w:firstLine="420" w:firstLineChars="200"/>
        <w:rPr>
          <w:rFonts w:ascii="Times New Roman" w:hAnsi="Times New Roman" w:cs="Times New Roman"/>
          <w:color w:val="0000FF"/>
          <w:szCs w:val="21"/>
        </w:rPr>
      </w:pPr>
      <w:r>
        <w:rPr>
          <w:rFonts w:hint="eastAsia" w:ascii="Times New Roman" w:hAnsi="Times New Roman" w:cs="Times New Roman"/>
          <w:color w:val="0000FF"/>
          <w:szCs w:val="21"/>
        </w:rPr>
        <w:t>1.《建筑节能与可再生能源利用通用规范》GB55015-2021明确要求，太阳能建筑一体化应用系统的设计应与建筑设计同步完成。</w:t>
      </w:r>
    </w:p>
    <w:p w14:paraId="15A27CF4">
      <w:pPr>
        <w:tabs>
          <w:tab w:val="left" w:pos="397"/>
        </w:tabs>
        <w:overflowPunct w:val="0"/>
        <w:ind w:firstLine="420" w:firstLineChars="200"/>
        <w:rPr>
          <w:rFonts w:ascii="Times New Roman" w:hAnsi="Times New Roman" w:cs="Times New Roman"/>
          <w:color w:val="0000FF"/>
          <w:szCs w:val="21"/>
        </w:rPr>
      </w:pPr>
      <w:r>
        <w:rPr>
          <w:rFonts w:hint="eastAsia" w:ascii="Times New Roman" w:hAnsi="Times New Roman" w:cs="Times New Roman"/>
          <w:color w:val="0000FF"/>
          <w:szCs w:val="21"/>
        </w:rPr>
        <w:t>2.目前我国太阳能热水、光伏的安装使用总量居世界第一，但大多作为建筑的后置部件在建筑建成后才购买安装，由此造成了对建筑安全和城市景观的不利影响，也造成资金和资源的浪费。因此应按工程建设的要求，统一规划、同步设计、同步施工、统一验收。</w:t>
      </w:r>
    </w:p>
    <w:p w14:paraId="1C05C4E1">
      <w:pPr>
        <w:tabs>
          <w:tab w:val="left" w:pos="397"/>
        </w:tabs>
        <w:overflowPunct w:val="0"/>
        <w:ind w:firstLine="420" w:firstLineChars="200"/>
        <w:rPr>
          <w:rFonts w:hint="eastAsia" w:ascii="Times New Roman" w:hAnsi="Times New Roman" w:cs="Times New Roman"/>
          <w:color w:val="0000FF"/>
          <w:szCs w:val="21"/>
        </w:rPr>
      </w:pPr>
      <w:r>
        <w:rPr>
          <w:rFonts w:hint="eastAsia" w:ascii="Times New Roman" w:hAnsi="Times New Roman" w:cs="Times New Roman"/>
          <w:color w:val="0000FF"/>
          <w:szCs w:val="21"/>
        </w:rPr>
        <w:t>3.常规设计中往往忽视了连接件产生的热桥，超低能耗建筑设计中应予以重视，采取阻断处理措施，例如在预埋件周边设置隔热垫块等。</w:t>
      </w:r>
    </w:p>
    <w:p w14:paraId="31426F6A">
      <w:pPr>
        <w:pStyle w:val="277"/>
        <w:numPr>
          <w:ilvl w:val="2"/>
          <w:numId w:val="38"/>
        </w:numPr>
        <w:spacing w:before="0" w:beforeLines="0" w:after="0" w:afterLines="0"/>
        <w:rPr>
          <w:rStyle w:val="698"/>
          <w:rFonts w:hint="default" w:ascii="Times New Roman" w:hAnsi="Times New Roman" w:eastAsia="宋体" w:cs="Times New Roman"/>
          <w:color w:val="auto"/>
          <w:lang w:val="en-US" w:eastAsia="zh-CN"/>
        </w:rPr>
      </w:pPr>
      <w:r>
        <w:rPr>
          <w:rStyle w:val="698"/>
          <w:rFonts w:hint="default" w:ascii="Times New Roman" w:hAnsi="Times New Roman" w:eastAsia="宋体" w:cs="Times New Roman"/>
          <w:color w:val="auto"/>
          <w:lang w:val="en-US" w:eastAsia="zh-CN"/>
        </w:rPr>
        <w:t>围护结构建筑节能基本构造的主要类型参见表6.3.7，常见构造节点示意图参见附录D。</w:t>
      </w:r>
    </w:p>
    <w:p w14:paraId="353A5646">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ascii="黑体" w:hAnsi="黑体" w:eastAsia="黑体" w:cs="黑体"/>
          <w:sz w:val="18"/>
          <w:szCs w:val="18"/>
        </w:rPr>
        <w:t>表</w:t>
      </w:r>
      <w:r>
        <w:rPr>
          <w:rFonts w:hint="eastAsia" w:ascii="黑体" w:hAnsi="黑体" w:eastAsia="黑体" w:cs="黑体"/>
          <w:sz w:val="18"/>
          <w:szCs w:val="18"/>
          <w:lang w:val="en-US" w:eastAsia="zh-CN"/>
        </w:rPr>
        <w:t>5</w:t>
      </w:r>
      <w:r>
        <w:rPr>
          <w:rFonts w:hint="eastAsia" w:ascii="黑体" w:hAnsi="黑体" w:eastAsia="黑体" w:cs="黑体"/>
          <w:sz w:val="18"/>
          <w:szCs w:val="18"/>
        </w:rPr>
        <w:t>.</w:t>
      </w:r>
      <w:r>
        <w:rPr>
          <w:rFonts w:hint="eastAsia" w:ascii="黑体" w:hAnsi="黑体" w:eastAsia="黑体" w:cs="黑体"/>
          <w:sz w:val="18"/>
          <w:szCs w:val="18"/>
          <w:lang w:val="en-US" w:eastAsia="zh-CN"/>
        </w:rPr>
        <w:t>2</w:t>
      </w:r>
      <w:r>
        <w:rPr>
          <w:rFonts w:hint="eastAsia" w:ascii="黑体" w:hAnsi="黑体" w:eastAsia="黑体" w:cs="黑体"/>
          <w:sz w:val="18"/>
          <w:szCs w:val="18"/>
        </w:rPr>
        <w:t>.</w:t>
      </w:r>
      <w:r>
        <w:rPr>
          <w:rFonts w:hint="eastAsia" w:ascii="黑体" w:hAnsi="黑体" w:eastAsia="黑体" w:cs="黑体"/>
          <w:sz w:val="18"/>
          <w:szCs w:val="18"/>
          <w:lang w:val="en-US" w:eastAsia="zh-CN"/>
        </w:rPr>
        <w:t>2</w:t>
      </w:r>
      <w:r>
        <w:rPr>
          <w:rFonts w:hint="eastAsia" w:ascii="黑体" w:hAnsi="黑体" w:eastAsia="黑体" w:cs="黑体"/>
          <w:sz w:val="18"/>
          <w:szCs w:val="18"/>
        </w:rPr>
        <w:t>7　</w:t>
      </w:r>
      <w:r>
        <w:rPr>
          <w:rFonts w:hint="eastAsia" w:ascii="黑体" w:hAnsi="黑体" w:eastAsia="黑体" w:cs="黑体"/>
          <w:sz w:val="18"/>
          <w:szCs w:val="18"/>
          <w:lang w:val="en-US" w:eastAsia="zh-CN"/>
        </w:rPr>
        <w:t>建筑</w:t>
      </w:r>
      <w:r>
        <w:rPr>
          <w:rFonts w:hint="eastAsia" w:ascii="黑体" w:hAnsi="黑体" w:eastAsia="黑体" w:cs="黑体"/>
          <w:sz w:val="18"/>
          <w:szCs w:val="18"/>
        </w:rPr>
        <w:t>围护结构节能基本构造主要类型</w:t>
      </w:r>
    </w:p>
    <w:tbl>
      <w:tblPr>
        <w:tblStyle w:val="8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307"/>
        <w:gridCol w:w="2465"/>
        <w:gridCol w:w="871"/>
        <w:gridCol w:w="1161"/>
        <w:gridCol w:w="3185"/>
      </w:tblGrid>
      <w:tr w14:paraId="2296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65" w:type="dxa"/>
            <w:shd w:val="clear" w:color="auto" w:fill="auto"/>
            <w:noWrap/>
            <w:vAlign w:val="center"/>
          </w:tcPr>
          <w:p w14:paraId="64DD5A00">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序号</w:t>
            </w:r>
          </w:p>
        </w:tc>
        <w:tc>
          <w:tcPr>
            <w:tcW w:w="1307" w:type="dxa"/>
            <w:shd w:val="clear" w:color="auto" w:fill="auto"/>
            <w:noWrap/>
            <w:vAlign w:val="center"/>
          </w:tcPr>
          <w:p w14:paraId="527EC1B5">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部位</w:t>
            </w:r>
          </w:p>
        </w:tc>
        <w:tc>
          <w:tcPr>
            <w:tcW w:w="2465" w:type="dxa"/>
            <w:shd w:val="clear" w:color="auto" w:fill="auto"/>
            <w:noWrap/>
            <w:vAlign w:val="center"/>
          </w:tcPr>
          <w:p w14:paraId="3EE65AF7">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基本构造</w:t>
            </w:r>
          </w:p>
        </w:tc>
        <w:tc>
          <w:tcPr>
            <w:tcW w:w="871" w:type="dxa"/>
            <w:shd w:val="clear" w:color="auto" w:fill="auto"/>
            <w:noWrap/>
            <w:vAlign w:val="center"/>
          </w:tcPr>
          <w:p w14:paraId="72821A83">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序号</w:t>
            </w:r>
          </w:p>
        </w:tc>
        <w:tc>
          <w:tcPr>
            <w:tcW w:w="1161" w:type="dxa"/>
            <w:shd w:val="clear" w:color="auto" w:fill="auto"/>
            <w:noWrap/>
            <w:vAlign w:val="center"/>
          </w:tcPr>
          <w:p w14:paraId="1FD89AB8">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部位</w:t>
            </w:r>
          </w:p>
        </w:tc>
        <w:tc>
          <w:tcPr>
            <w:tcW w:w="3185" w:type="dxa"/>
            <w:shd w:val="clear" w:color="auto" w:fill="auto"/>
            <w:noWrap/>
            <w:vAlign w:val="center"/>
          </w:tcPr>
          <w:p w14:paraId="403D101A">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基本构造</w:t>
            </w:r>
          </w:p>
        </w:tc>
      </w:tr>
      <w:tr w14:paraId="3BF6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65" w:type="dxa"/>
            <w:shd w:val="clear" w:color="auto" w:fill="auto"/>
            <w:noWrap/>
            <w:vAlign w:val="center"/>
          </w:tcPr>
          <w:p w14:paraId="20AE1458">
            <w:pPr>
              <w:widowControl/>
              <w:overflowPunct w:val="0"/>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1</w:t>
            </w:r>
          </w:p>
        </w:tc>
        <w:tc>
          <w:tcPr>
            <w:tcW w:w="1307" w:type="dxa"/>
            <w:vMerge w:val="restart"/>
            <w:shd w:val="clear" w:color="auto" w:fill="auto"/>
            <w:noWrap/>
            <w:vAlign w:val="center"/>
          </w:tcPr>
          <w:p w14:paraId="47765494">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屋面</w:t>
            </w:r>
          </w:p>
        </w:tc>
        <w:tc>
          <w:tcPr>
            <w:tcW w:w="2465" w:type="dxa"/>
            <w:shd w:val="clear" w:color="auto" w:fill="auto"/>
            <w:noWrap/>
            <w:vAlign w:val="center"/>
          </w:tcPr>
          <w:p w14:paraId="116782FD">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平屋面</w:t>
            </w:r>
          </w:p>
        </w:tc>
        <w:tc>
          <w:tcPr>
            <w:tcW w:w="871" w:type="dxa"/>
            <w:shd w:val="clear" w:color="auto" w:fill="auto"/>
            <w:noWrap/>
            <w:vAlign w:val="bottom"/>
          </w:tcPr>
          <w:p w14:paraId="622F7060">
            <w:pPr>
              <w:widowControl/>
              <w:overflowPunct w:val="0"/>
              <w:jc w:val="center"/>
              <w:textAlignment w:val="bottom"/>
              <w:rPr>
                <w:rFonts w:ascii="Times New Roman" w:hAnsi="Times New Roman" w:eastAsia="宋体" w:cs="Times New Roman"/>
                <w:sz w:val="18"/>
                <w:szCs w:val="18"/>
              </w:rPr>
            </w:pPr>
            <w:r>
              <w:rPr>
                <w:rFonts w:hint="eastAsia" w:ascii="Times New Roman" w:hAnsi="Times New Roman" w:eastAsia="宋体" w:cs="Times New Roman"/>
                <w:sz w:val="18"/>
                <w:szCs w:val="18"/>
              </w:rPr>
              <w:t>6</w:t>
            </w:r>
          </w:p>
        </w:tc>
        <w:tc>
          <w:tcPr>
            <w:tcW w:w="1161" w:type="dxa"/>
            <w:vMerge w:val="restart"/>
            <w:shd w:val="clear" w:color="auto" w:fill="auto"/>
            <w:noWrap/>
            <w:vAlign w:val="center"/>
          </w:tcPr>
          <w:p w14:paraId="7407691F">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墙体</w:t>
            </w:r>
          </w:p>
        </w:tc>
        <w:tc>
          <w:tcPr>
            <w:tcW w:w="3185" w:type="dxa"/>
            <w:shd w:val="clear" w:color="auto" w:fill="auto"/>
            <w:noWrap/>
            <w:vAlign w:val="center"/>
          </w:tcPr>
          <w:p w14:paraId="1A1E1E53">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电线盒节点</w:t>
            </w:r>
          </w:p>
        </w:tc>
      </w:tr>
      <w:tr w14:paraId="0371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65" w:type="dxa"/>
            <w:shd w:val="clear" w:color="auto" w:fill="auto"/>
            <w:noWrap/>
            <w:vAlign w:val="center"/>
          </w:tcPr>
          <w:p w14:paraId="7BC80C72">
            <w:pPr>
              <w:widowControl/>
              <w:overflowPunct w:val="0"/>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2</w:t>
            </w:r>
          </w:p>
        </w:tc>
        <w:tc>
          <w:tcPr>
            <w:tcW w:w="1307" w:type="dxa"/>
            <w:vMerge w:val="continue"/>
            <w:shd w:val="clear" w:color="auto" w:fill="auto"/>
            <w:noWrap/>
            <w:vAlign w:val="center"/>
          </w:tcPr>
          <w:p w14:paraId="7539CB72">
            <w:pPr>
              <w:overflowPunct w:val="0"/>
              <w:jc w:val="center"/>
              <w:rPr>
                <w:rFonts w:ascii="宋体" w:hAnsi="宋体" w:eastAsia="宋体" w:cs="宋体"/>
                <w:sz w:val="18"/>
                <w:szCs w:val="18"/>
              </w:rPr>
            </w:pPr>
          </w:p>
        </w:tc>
        <w:tc>
          <w:tcPr>
            <w:tcW w:w="2465" w:type="dxa"/>
            <w:shd w:val="clear" w:color="auto" w:fill="auto"/>
            <w:noWrap/>
            <w:vAlign w:val="center"/>
          </w:tcPr>
          <w:p w14:paraId="0EFE20BC">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种植屋面</w:t>
            </w:r>
          </w:p>
        </w:tc>
        <w:tc>
          <w:tcPr>
            <w:tcW w:w="871" w:type="dxa"/>
            <w:shd w:val="clear" w:color="auto" w:fill="auto"/>
            <w:noWrap/>
            <w:vAlign w:val="bottom"/>
          </w:tcPr>
          <w:p w14:paraId="43FD3CC6">
            <w:pPr>
              <w:widowControl/>
              <w:overflowPunct w:val="0"/>
              <w:jc w:val="center"/>
              <w:textAlignment w:val="bottom"/>
              <w:rPr>
                <w:rFonts w:ascii="Times New Roman" w:hAnsi="Times New Roman" w:eastAsia="宋体" w:cs="Times New Roman"/>
                <w:sz w:val="18"/>
                <w:szCs w:val="18"/>
              </w:rPr>
            </w:pPr>
            <w:r>
              <w:rPr>
                <w:rFonts w:hint="eastAsia" w:ascii="Times New Roman" w:hAnsi="Times New Roman" w:eastAsia="宋体" w:cs="Times New Roman"/>
                <w:sz w:val="18"/>
                <w:szCs w:val="18"/>
              </w:rPr>
              <w:t>7</w:t>
            </w:r>
          </w:p>
        </w:tc>
        <w:tc>
          <w:tcPr>
            <w:tcW w:w="1161" w:type="dxa"/>
            <w:vMerge w:val="continue"/>
            <w:shd w:val="clear" w:color="auto" w:fill="auto"/>
            <w:noWrap/>
            <w:vAlign w:val="center"/>
          </w:tcPr>
          <w:p w14:paraId="16520044">
            <w:pPr>
              <w:overflowPunct w:val="0"/>
              <w:jc w:val="center"/>
              <w:rPr>
                <w:rFonts w:ascii="宋体" w:hAnsi="宋体" w:eastAsia="宋体" w:cs="宋体"/>
                <w:sz w:val="18"/>
                <w:szCs w:val="18"/>
              </w:rPr>
            </w:pPr>
          </w:p>
        </w:tc>
        <w:tc>
          <w:tcPr>
            <w:tcW w:w="3185" w:type="dxa"/>
            <w:shd w:val="clear" w:color="auto" w:fill="auto"/>
            <w:noWrap/>
            <w:vAlign w:val="center"/>
          </w:tcPr>
          <w:p w14:paraId="71CA100C">
            <w:pPr>
              <w:widowControl/>
              <w:overflowPunct w:val="0"/>
              <w:jc w:val="center"/>
              <w:textAlignment w:val="center"/>
              <w:rPr>
                <w:rFonts w:ascii="宋体" w:hAnsi="宋体" w:eastAsia="宋体" w:cs="宋体"/>
                <w:sz w:val="18"/>
                <w:szCs w:val="18"/>
              </w:rPr>
            </w:pPr>
            <w:r>
              <w:rPr>
                <w:rFonts w:hint="eastAsia" w:ascii="宋体" w:hAnsi="宋体" w:eastAsia="宋体" w:cs="宋体"/>
                <w:sz w:val="18"/>
                <w:szCs w:val="18"/>
              </w:rPr>
              <w:t>雨水管节点</w:t>
            </w:r>
          </w:p>
        </w:tc>
      </w:tr>
      <w:tr w14:paraId="5A05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65" w:type="dxa"/>
            <w:shd w:val="clear" w:color="auto" w:fill="auto"/>
            <w:noWrap/>
            <w:vAlign w:val="center"/>
          </w:tcPr>
          <w:p w14:paraId="75961221">
            <w:pPr>
              <w:widowControl/>
              <w:overflowPunct w:val="0"/>
              <w:jc w:val="center"/>
              <w:textAlignment w:val="center"/>
              <w:rPr>
                <w:rFonts w:ascii="Times New Roman" w:hAnsi="Times New Roman" w:eastAsia="宋体" w:cs="Times New Roman"/>
                <w:sz w:val="18"/>
                <w:szCs w:val="18"/>
              </w:rPr>
            </w:pPr>
            <w:r>
              <w:rPr>
                <w:rFonts w:ascii="Times New Roman" w:hAnsi="Times New Roman" w:eastAsia="宋体" w:cs="Times New Roman"/>
                <w:kern w:val="0"/>
                <w:sz w:val="18"/>
                <w:szCs w:val="18"/>
                <w:lang w:bidi="ar"/>
              </w:rPr>
              <w:t>3</w:t>
            </w:r>
          </w:p>
        </w:tc>
        <w:tc>
          <w:tcPr>
            <w:tcW w:w="1307" w:type="dxa"/>
            <w:vMerge w:val="continue"/>
            <w:shd w:val="clear" w:color="auto" w:fill="auto"/>
            <w:noWrap/>
            <w:vAlign w:val="center"/>
          </w:tcPr>
          <w:p w14:paraId="20808902">
            <w:pPr>
              <w:overflowPunct w:val="0"/>
              <w:jc w:val="center"/>
              <w:rPr>
                <w:rFonts w:ascii="宋体" w:hAnsi="宋体" w:eastAsia="宋体" w:cs="宋体"/>
                <w:sz w:val="18"/>
                <w:szCs w:val="18"/>
              </w:rPr>
            </w:pPr>
          </w:p>
        </w:tc>
        <w:tc>
          <w:tcPr>
            <w:tcW w:w="2465" w:type="dxa"/>
            <w:shd w:val="clear" w:color="auto" w:fill="auto"/>
            <w:noWrap/>
            <w:vAlign w:val="center"/>
          </w:tcPr>
          <w:p w14:paraId="38F32640">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坡屋面</w:t>
            </w:r>
          </w:p>
        </w:tc>
        <w:tc>
          <w:tcPr>
            <w:tcW w:w="871" w:type="dxa"/>
            <w:shd w:val="clear" w:color="auto" w:fill="auto"/>
            <w:noWrap/>
            <w:vAlign w:val="bottom"/>
          </w:tcPr>
          <w:p w14:paraId="028D8314">
            <w:pPr>
              <w:widowControl/>
              <w:overflowPunct w:val="0"/>
              <w:jc w:val="center"/>
              <w:textAlignment w:val="bottom"/>
              <w:rPr>
                <w:rFonts w:ascii="Times New Roman" w:hAnsi="Times New Roman" w:eastAsia="宋体" w:cs="Times New Roman"/>
                <w:sz w:val="18"/>
                <w:szCs w:val="18"/>
              </w:rPr>
            </w:pPr>
            <w:r>
              <w:rPr>
                <w:rFonts w:hint="eastAsia" w:ascii="Times New Roman" w:hAnsi="Times New Roman" w:eastAsia="宋体" w:cs="Times New Roman"/>
                <w:sz w:val="18"/>
                <w:szCs w:val="18"/>
              </w:rPr>
              <w:t>8</w:t>
            </w:r>
          </w:p>
        </w:tc>
        <w:tc>
          <w:tcPr>
            <w:tcW w:w="1161" w:type="dxa"/>
            <w:vMerge w:val="continue"/>
            <w:shd w:val="clear" w:color="auto" w:fill="auto"/>
            <w:noWrap/>
            <w:vAlign w:val="center"/>
          </w:tcPr>
          <w:p w14:paraId="16B3AA3F">
            <w:pPr>
              <w:overflowPunct w:val="0"/>
              <w:jc w:val="center"/>
              <w:rPr>
                <w:rFonts w:ascii="宋体" w:hAnsi="宋体" w:eastAsia="宋体" w:cs="宋体"/>
                <w:sz w:val="18"/>
                <w:szCs w:val="18"/>
              </w:rPr>
            </w:pPr>
          </w:p>
        </w:tc>
        <w:tc>
          <w:tcPr>
            <w:tcW w:w="3185" w:type="dxa"/>
            <w:shd w:val="clear" w:color="auto" w:fill="auto"/>
            <w:noWrap/>
            <w:vAlign w:val="center"/>
          </w:tcPr>
          <w:p w14:paraId="66F5B22A">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管道穿外墙</w:t>
            </w:r>
          </w:p>
        </w:tc>
      </w:tr>
      <w:tr w14:paraId="6FB5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65" w:type="dxa"/>
            <w:shd w:val="clear" w:color="auto" w:fill="auto"/>
            <w:noWrap/>
            <w:vAlign w:val="center"/>
          </w:tcPr>
          <w:p w14:paraId="65D830AD">
            <w:pPr>
              <w:widowControl/>
              <w:overflowPunct w:val="0"/>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rPr>
              <w:t>4</w:t>
            </w:r>
          </w:p>
        </w:tc>
        <w:tc>
          <w:tcPr>
            <w:tcW w:w="1307" w:type="dxa"/>
            <w:vMerge w:val="restart"/>
            <w:shd w:val="clear" w:color="auto" w:fill="auto"/>
            <w:noWrap/>
            <w:vAlign w:val="center"/>
          </w:tcPr>
          <w:p w14:paraId="054408C1">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墙体</w:t>
            </w:r>
          </w:p>
        </w:tc>
        <w:tc>
          <w:tcPr>
            <w:tcW w:w="2465" w:type="dxa"/>
            <w:shd w:val="clear" w:color="auto" w:fill="auto"/>
            <w:noWrap/>
            <w:vAlign w:val="center"/>
          </w:tcPr>
          <w:p w14:paraId="096D68B6">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外墙</w:t>
            </w:r>
          </w:p>
        </w:tc>
        <w:tc>
          <w:tcPr>
            <w:tcW w:w="871" w:type="dxa"/>
            <w:vMerge w:val="restart"/>
            <w:shd w:val="clear" w:color="auto" w:fill="auto"/>
            <w:noWrap/>
            <w:vAlign w:val="center"/>
          </w:tcPr>
          <w:p w14:paraId="035DF609">
            <w:pPr>
              <w:widowControl/>
              <w:overflowPunct w:val="0"/>
              <w:jc w:val="center"/>
              <w:textAlignment w:val="bottom"/>
              <w:rPr>
                <w:rFonts w:ascii="Times New Roman" w:hAnsi="Times New Roman" w:eastAsia="宋体" w:cs="Times New Roman"/>
                <w:sz w:val="18"/>
                <w:szCs w:val="18"/>
              </w:rPr>
            </w:pPr>
            <w:r>
              <w:rPr>
                <w:rFonts w:hint="eastAsia" w:ascii="Times New Roman" w:hAnsi="Times New Roman" w:eastAsia="宋体" w:cs="Times New Roman"/>
                <w:sz w:val="18"/>
                <w:szCs w:val="18"/>
              </w:rPr>
              <w:t>9</w:t>
            </w:r>
          </w:p>
        </w:tc>
        <w:tc>
          <w:tcPr>
            <w:tcW w:w="1161" w:type="dxa"/>
            <w:vMerge w:val="restart"/>
            <w:shd w:val="clear" w:color="auto" w:fill="auto"/>
            <w:noWrap/>
            <w:vAlign w:val="center"/>
          </w:tcPr>
          <w:p w14:paraId="35399149">
            <w:pPr>
              <w:widowControl/>
              <w:overflowPunct w:val="0"/>
              <w:jc w:val="center"/>
              <w:textAlignment w:val="center"/>
              <w:rPr>
                <w:rFonts w:ascii="宋体" w:hAnsi="宋体" w:eastAsia="宋体" w:cs="宋体"/>
                <w:sz w:val="18"/>
                <w:szCs w:val="18"/>
                <w:highlight w:val="yellow"/>
              </w:rPr>
            </w:pPr>
            <w:r>
              <w:rPr>
                <w:rFonts w:hint="eastAsia" w:ascii="宋体" w:hAnsi="宋体" w:eastAsia="宋体" w:cs="宋体"/>
                <w:kern w:val="0"/>
                <w:sz w:val="18"/>
                <w:szCs w:val="18"/>
                <w:lang w:bidi="ar"/>
              </w:rPr>
              <w:t>外门窗</w:t>
            </w:r>
          </w:p>
        </w:tc>
        <w:tc>
          <w:tcPr>
            <w:tcW w:w="3185" w:type="dxa"/>
            <w:vMerge w:val="restart"/>
            <w:shd w:val="clear" w:color="auto" w:fill="auto"/>
            <w:noWrap/>
            <w:vAlign w:val="center"/>
          </w:tcPr>
          <w:p w14:paraId="20DC76E6">
            <w:pPr>
              <w:widowControl/>
              <w:overflowPunct w:val="0"/>
              <w:jc w:val="center"/>
              <w:textAlignment w:val="center"/>
              <w:rPr>
                <w:rFonts w:ascii="宋体" w:hAnsi="宋体" w:eastAsia="宋体" w:cs="宋体"/>
                <w:sz w:val="18"/>
                <w:szCs w:val="18"/>
                <w:highlight w:val="yellow"/>
              </w:rPr>
            </w:pPr>
            <w:r>
              <w:rPr>
                <w:rFonts w:hint="eastAsia" w:ascii="宋体" w:hAnsi="宋体" w:eastAsia="宋体" w:cs="宋体"/>
                <w:kern w:val="0"/>
                <w:sz w:val="18"/>
                <w:szCs w:val="18"/>
                <w:lang w:bidi="ar"/>
              </w:rPr>
              <w:t>平窗构造</w:t>
            </w:r>
          </w:p>
        </w:tc>
      </w:tr>
      <w:tr w14:paraId="49E3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65" w:type="dxa"/>
            <w:shd w:val="clear" w:color="auto" w:fill="auto"/>
            <w:noWrap/>
            <w:vAlign w:val="center"/>
          </w:tcPr>
          <w:p w14:paraId="293109E6">
            <w:pPr>
              <w:widowControl/>
              <w:overflowPunct w:val="0"/>
              <w:jc w:val="center"/>
              <w:textAlignment w:val="center"/>
              <w:rPr>
                <w:rFonts w:ascii="Times New Roman" w:hAnsi="Times New Roman" w:eastAsia="宋体" w:cs="Times New Roman"/>
                <w:sz w:val="18"/>
                <w:szCs w:val="18"/>
              </w:rPr>
            </w:pPr>
            <w:r>
              <w:rPr>
                <w:rFonts w:hint="eastAsia" w:ascii="Times New Roman" w:hAnsi="Times New Roman" w:eastAsia="宋体" w:cs="Times New Roman"/>
                <w:sz w:val="18"/>
                <w:szCs w:val="18"/>
              </w:rPr>
              <w:t>5</w:t>
            </w:r>
          </w:p>
        </w:tc>
        <w:tc>
          <w:tcPr>
            <w:tcW w:w="1307" w:type="dxa"/>
            <w:vMerge w:val="continue"/>
            <w:shd w:val="clear" w:color="auto" w:fill="auto"/>
            <w:noWrap/>
            <w:vAlign w:val="center"/>
          </w:tcPr>
          <w:p w14:paraId="5A3186A8">
            <w:pPr>
              <w:widowControl/>
              <w:overflowPunct w:val="0"/>
              <w:jc w:val="center"/>
              <w:textAlignment w:val="center"/>
              <w:rPr>
                <w:rFonts w:ascii="宋体" w:hAnsi="宋体" w:eastAsia="宋体" w:cs="宋体"/>
                <w:sz w:val="18"/>
                <w:szCs w:val="18"/>
              </w:rPr>
            </w:pPr>
          </w:p>
        </w:tc>
        <w:tc>
          <w:tcPr>
            <w:tcW w:w="2465" w:type="dxa"/>
            <w:shd w:val="clear" w:color="auto" w:fill="auto"/>
            <w:noWrap/>
            <w:vAlign w:val="center"/>
          </w:tcPr>
          <w:p w14:paraId="48DA0937">
            <w:pPr>
              <w:widowControl/>
              <w:overflowPunct w:val="0"/>
              <w:jc w:val="center"/>
              <w:textAlignment w:val="center"/>
              <w:rPr>
                <w:rFonts w:ascii="宋体" w:hAnsi="宋体" w:eastAsia="宋体" w:cs="宋体"/>
                <w:sz w:val="18"/>
                <w:szCs w:val="18"/>
              </w:rPr>
            </w:pPr>
            <w:r>
              <w:rPr>
                <w:rFonts w:hint="eastAsia" w:ascii="宋体" w:hAnsi="宋体" w:eastAsia="宋体" w:cs="宋体"/>
                <w:kern w:val="0"/>
                <w:sz w:val="18"/>
                <w:szCs w:val="18"/>
                <w:lang w:bidi="ar"/>
              </w:rPr>
              <w:t>阴阳角</w:t>
            </w:r>
          </w:p>
        </w:tc>
        <w:tc>
          <w:tcPr>
            <w:tcW w:w="871" w:type="dxa"/>
            <w:vMerge w:val="continue"/>
            <w:shd w:val="clear" w:color="auto" w:fill="auto"/>
            <w:noWrap/>
            <w:vAlign w:val="bottom"/>
          </w:tcPr>
          <w:p w14:paraId="3668D069">
            <w:pPr>
              <w:widowControl/>
              <w:overflowPunct w:val="0"/>
              <w:jc w:val="center"/>
              <w:textAlignment w:val="bottom"/>
              <w:rPr>
                <w:rFonts w:ascii="Times New Roman" w:hAnsi="Times New Roman" w:eastAsia="宋体" w:cs="Times New Roman"/>
                <w:sz w:val="18"/>
                <w:szCs w:val="18"/>
              </w:rPr>
            </w:pPr>
          </w:p>
        </w:tc>
        <w:tc>
          <w:tcPr>
            <w:tcW w:w="1161" w:type="dxa"/>
            <w:vMerge w:val="continue"/>
            <w:shd w:val="clear" w:color="auto" w:fill="auto"/>
            <w:noWrap/>
            <w:vAlign w:val="center"/>
          </w:tcPr>
          <w:p w14:paraId="6636B2C0">
            <w:pPr>
              <w:overflowPunct w:val="0"/>
              <w:jc w:val="center"/>
              <w:rPr>
                <w:rFonts w:ascii="宋体" w:hAnsi="宋体" w:eastAsia="宋体" w:cs="宋体"/>
                <w:sz w:val="18"/>
                <w:szCs w:val="18"/>
                <w:highlight w:val="yellow"/>
              </w:rPr>
            </w:pPr>
          </w:p>
        </w:tc>
        <w:tc>
          <w:tcPr>
            <w:tcW w:w="3185" w:type="dxa"/>
            <w:vMerge w:val="continue"/>
            <w:shd w:val="clear" w:color="auto" w:fill="auto"/>
            <w:noWrap/>
            <w:vAlign w:val="center"/>
          </w:tcPr>
          <w:p w14:paraId="50BCDDC5">
            <w:pPr>
              <w:widowControl/>
              <w:overflowPunct w:val="0"/>
              <w:jc w:val="center"/>
              <w:textAlignment w:val="center"/>
              <w:rPr>
                <w:rFonts w:ascii="宋体" w:hAnsi="宋体" w:eastAsia="宋体" w:cs="宋体"/>
                <w:sz w:val="18"/>
                <w:szCs w:val="18"/>
                <w:highlight w:val="yellow"/>
              </w:rPr>
            </w:pPr>
          </w:p>
        </w:tc>
      </w:tr>
    </w:tbl>
    <w:p w14:paraId="360B6EB5">
      <w:pPr>
        <w:pStyle w:val="258"/>
        <w:ind w:left="0" w:leftChars="0" w:firstLine="0" w:firstLineChars="0"/>
        <w:rPr>
          <w:rFonts w:hint="default"/>
          <w:lang w:val="en-US" w:eastAsia="zh-CN"/>
        </w:rPr>
      </w:pPr>
    </w:p>
    <w:p w14:paraId="20324741">
      <w:pPr>
        <w:pStyle w:val="258"/>
        <w:numPr>
          <w:ilvl w:val="1"/>
          <w:numId w:val="37"/>
        </w:numPr>
        <w:spacing w:before="156" w:beforeLines="50" w:after="156" w:afterLines="50"/>
        <w:ind w:firstLineChars="0"/>
        <w:outlineLvl w:val="1"/>
        <w:rPr>
          <w:rFonts w:ascii="黑体" w:hAnsi="黑体" w:eastAsia="黑体"/>
        </w:rPr>
      </w:pPr>
      <w:bookmarkStart w:id="31" w:name="_Toc2950921"/>
      <w:bookmarkStart w:id="32" w:name="_Toc28757"/>
      <w:r>
        <w:rPr>
          <w:rFonts w:ascii="黑体" w:hAnsi="黑体" w:eastAsia="黑体"/>
        </w:rPr>
        <w:t>供暖通风与空调设计</w:t>
      </w:r>
      <w:bookmarkEnd w:id="31"/>
      <w:bookmarkEnd w:id="32"/>
    </w:p>
    <w:p w14:paraId="2FBA38B8">
      <w:pPr>
        <w:pStyle w:val="277"/>
        <w:numPr>
          <w:ilvl w:val="2"/>
          <w:numId w:val="39"/>
        </w:numPr>
        <w:spacing w:before="0" w:beforeLines="0" w:after="0" w:afterLines="0"/>
        <w:rPr>
          <w:rFonts w:hAnsi="黑体" w:eastAsia="宋体"/>
        </w:rPr>
      </w:pPr>
      <w:r>
        <w:rPr>
          <w:rFonts w:hAnsi="黑体" w:eastAsia="宋体"/>
        </w:rPr>
        <w:t>超低能耗建筑供暖空调系统冷热源设计应符合下列要求：</w:t>
      </w:r>
    </w:p>
    <w:p w14:paraId="08754A51">
      <w:pPr>
        <w:pStyle w:val="258"/>
        <w:tabs>
          <w:tab w:val="center" w:pos="4201"/>
          <w:tab w:val="right" w:leader="dot" w:pos="9298"/>
        </w:tabs>
        <w:ind w:firstLine="420"/>
        <w:rPr>
          <w:rFonts w:hint="eastAsia"/>
          <w:szCs w:val="22"/>
          <w:lang w:val="en-US" w:eastAsia="zh-CN"/>
        </w:rPr>
      </w:pPr>
      <w:r>
        <w:rPr>
          <w:szCs w:val="22"/>
        </w:rPr>
        <w:t>1</w:t>
      </w:r>
      <w:r>
        <w:rPr>
          <w:rFonts w:hint="eastAsia"/>
          <w:szCs w:val="22"/>
          <w:lang w:val="en-US" w:eastAsia="zh-CN"/>
        </w:rPr>
        <w:t>.优先考虑工业余热、废热或热电联产热源作为供暖空调热源，技术经济合理时优先利用浅层地温能、空气能等可再生能源作为供暖空调冷热源。</w:t>
      </w:r>
    </w:p>
    <w:p w14:paraId="48285D04">
      <w:pPr>
        <w:pStyle w:val="258"/>
        <w:tabs>
          <w:tab w:val="center" w:pos="4201"/>
          <w:tab w:val="right" w:leader="dot" w:pos="9298"/>
        </w:tabs>
        <w:ind w:firstLine="420"/>
        <w:rPr>
          <w:rFonts w:hint="eastAsia"/>
          <w:szCs w:val="22"/>
          <w:lang w:val="en-US" w:eastAsia="zh-CN"/>
        </w:rPr>
      </w:pPr>
      <w:r>
        <w:rPr>
          <w:rFonts w:hint="eastAsia"/>
          <w:szCs w:val="22"/>
          <w:lang w:val="en-US" w:eastAsia="zh-CN"/>
        </w:rPr>
        <w:t>2.经供暖空调负荷计算，其供暖空调负荷、除湿负荷可全部由新风处理时，宜采用热回收型新风空调一体机作为供暖空调设备，通过对新风的冷热处理，实现对室内的温湿度控制。</w:t>
      </w:r>
    </w:p>
    <w:p w14:paraId="61051E8C">
      <w:pPr>
        <w:pStyle w:val="258"/>
        <w:tabs>
          <w:tab w:val="center" w:pos="4201"/>
          <w:tab w:val="right" w:leader="dot" w:pos="9298"/>
        </w:tabs>
        <w:ind w:firstLine="420"/>
        <w:rPr>
          <w:rFonts w:hint="eastAsia" w:eastAsia="宋体"/>
          <w:szCs w:val="22"/>
          <w:lang w:val="en-US" w:eastAsia="zh-CN"/>
        </w:rPr>
      </w:pPr>
      <w:r>
        <w:rPr>
          <w:rFonts w:hint="eastAsia"/>
          <w:szCs w:val="22"/>
          <w:lang w:val="en-US" w:eastAsia="zh-CN"/>
        </w:rPr>
        <w:t>3.宜选用热泵类设备作为空调冷热源，可采用多联式空调（热泵）机组、风冷热泵型冷热水机组、地源热泵等各类热泵产品，以充分利用热泵机组的复合功能性及调节灵活性，提高空调系统节能降碳性能。</w:t>
      </w:r>
    </w:p>
    <w:p w14:paraId="73C9893B">
      <w:pPr>
        <w:pStyle w:val="277"/>
        <w:numPr>
          <w:ilvl w:val="2"/>
          <w:numId w:val="39"/>
        </w:numPr>
        <w:spacing w:before="0" w:beforeLines="0" w:after="0" w:afterLines="0"/>
        <w:rPr>
          <w:rFonts w:hAnsi="黑体" w:eastAsia="宋体"/>
        </w:rPr>
      </w:pPr>
      <w:r>
        <w:rPr>
          <w:rFonts w:hAnsi="黑体" w:eastAsia="宋体"/>
        </w:rPr>
        <w:t>供暖空调冷热源设备应选用高效率的机组，其效率应符合下列要求：</w:t>
      </w:r>
    </w:p>
    <w:p w14:paraId="66330FBA">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1</w:t>
      </w:r>
      <w:r>
        <w:rPr>
          <w:rFonts w:hint="default" w:ascii="Times New Roman" w:hAnsi="Times New Roman" w:cs="Times New Roman"/>
          <w:szCs w:val="22"/>
          <w:lang w:val="en-US" w:eastAsia="zh-CN"/>
        </w:rPr>
        <w:t>.</w:t>
      </w:r>
      <w:r>
        <w:rPr>
          <w:rFonts w:hint="default" w:ascii="Times New Roman" w:hAnsi="Times New Roman" w:cs="Times New Roman"/>
          <w:szCs w:val="22"/>
        </w:rPr>
        <w:t>燃气锅炉的额定热效率不应低于表</w:t>
      </w:r>
      <w:r>
        <w:rPr>
          <w:rFonts w:hint="default" w:ascii="Times New Roman" w:hAnsi="Times New Roman" w:cs="Times New Roman"/>
          <w:szCs w:val="22"/>
          <w:lang w:val="en-US" w:eastAsia="zh-CN"/>
        </w:rPr>
        <w:t>5</w:t>
      </w:r>
      <w:r>
        <w:rPr>
          <w:rFonts w:hint="default" w:ascii="Times New Roman" w:hAnsi="Times New Roman" w:cs="Times New Roman"/>
          <w:szCs w:val="22"/>
        </w:rPr>
        <w:t>.3.2-1的规定。</w:t>
      </w:r>
    </w:p>
    <w:p w14:paraId="01A9B0DC">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2</w:t>
      </w:r>
      <w:r>
        <w:rPr>
          <w:rFonts w:hint="default" w:ascii="Times New Roman" w:hAnsi="Times New Roman" w:cs="Times New Roman"/>
          <w:szCs w:val="22"/>
          <w:lang w:val="en-US" w:eastAsia="zh-CN"/>
        </w:rPr>
        <w:t>.</w:t>
      </w:r>
      <w:r>
        <w:rPr>
          <w:rFonts w:hint="default" w:ascii="Times New Roman" w:hAnsi="Times New Roman" w:cs="Times New Roman"/>
          <w:szCs w:val="22"/>
        </w:rPr>
        <w:t>冷水（热泵）机组，其在名义制冷工况和规定条件下的性能系数（COP）或综合部分负荷性能系数（IPLV）应达到现行国家标准《热泵和冷水机组能效限定值及能效等级》GB 19577中的1级能效要求。</w:t>
      </w:r>
    </w:p>
    <w:p w14:paraId="57A10245">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3</w:t>
      </w:r>
      <w:r>
        <w:rPr>
          <w:rFonts w:hint="default" w:ascii="Times New Roman" w:hAnsi="Times New Roman" w:cs="Times New Roman"/>
          <w:szCs w:val="22"/>
          <w:lang w:val="en-US" w:eastAsia="zh-CN"/>
        </w:rPr>
        <w:t>.</w:t>
      </w:r>
      <w:r>
        <w:rPr>
          <w:rFonts w:hint="default" w:ascii="Times New Roman" w:hAnsi="Times New Roman" w:cs="Times New Roman"/>
          <w:szCs w:val="22"/>
        </w:rPr>
        <w:t>多联式空调（热泵）机组，其能效等级应达到现行国家标准《多联式空调（热泵）机组能效限定值及能效等级》GB/T 21454中的1级能效要求。</w:t>
      </w:r>
    </w:p>
    <w:p w14:paraId="631002B0">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4</w:t>
      </w:r>
      <w:r>
        <w:rPr>
          <w:rFonts w:hint="default" w:ascii="Times New Roman" w:hAnsi="Times New Roman" w:cs="Times New Roman"/>
          <w:szCs w:val="22"/>
          <w:lang w:val="en-US" w:eastAsia="zh-CN"/>
        </w:rPr>
        <w:t>.</w:t>
      </w:r>
      <w:r>
        <w:rPr>
          <w:rFonts w:hint="default" w:ascii="Times New Roman" w:hAnsi="Times New Roman" w:cs="Times New Roman"/>
          <w:szCs w:val="22"/>
        </w:rPr>
        <w:t>采用名义制冷量大于7.1kW、电机驱动的单元式空气调节机、风管送风式空调（热泵）机组和直接蒸发式全新风空气处理机组，其能效等级达到现行国家标准《单元式空气调节机能效限定值及能效等级》GB 19576及《风管送风式空调机组能效限定值及能效等级》GB 37479的1级能效要求。</w:t>
      </w:r>
    </w:p>
    <w:p w14:paraId="62277029">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5</w:t>
      </w:r>
      <w:r>
        <w:rPr>
          <w:rFonts w:hint="default" w:ascii="Times New Roman" w:hAnsi="Times New Roman" w:cs="Times New Roman"/>
          <w:szCs w:val="22"/>
          <w:lang w:val="en-US" w:eastAsia="zh-CN"/>
        </w:rPr>
        <w:t>.</w:t>
      </w:r>
      <w:r>
        <w:rPr>
          <w:rFonts w:hint="default" w:ascii="Times New Roman" w:hAnsi="Times New Roman" w:cs="Times New Roman"/>
          <w:szCs w:val="22"/>
        </w:rPr>
        <w:t>房间空气调节器，其能效等级应达到现行国家标准《房间空气调节器能效限定值及能效等级》GB 21455的1级能效要求。</w:t>
      </w:r>
    </w:p>
    <w:p w14:paraId="4484915D">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6</w:t>
      </w:r>
      <w:r>
        <w:rPr>
          <w:rFonts w:hint="default" w:ascii="Times New Roman" w:hAnsi="Times New Roman" w:cs="Times New Roman"/>
          <w:szCs w:val="22"/>
          <w:lang w:val="en-US" w:eastAsia="zh-CN"/>
        </w:rPr>
        <w:t>.</w:t>
      </w:r>
      <w:r>
        <w:rPr>
          <w:rFonts w:hint="default" w:ascii="Times New Roman" w:hAnsi="Times New Roman" w:cs="Times New Roman"/>
          <w:szCs w:val="22"/>
        </w:rPr>
        <w:t>空调制冷机房系统能效比应</w:t>
      </w:r>
      <w:r>
        <w:rPr>
          <w:rFonts w:hint="eastAsia" w:ascii="宋体" w:hAnsi="宋体" w:eastAsia="宋体" w:cs="宋体"/>
          <w:szCs w:val="22"/>
        </w:rPr>
        <w:t>≥</w:t>
      </w:r>
      <w:r>
        <w:rPr>
          <w:rFonts w:hint="default" w:ascii="Times New Roman" w:hAnsi="Times New Roman" w:cs="Times New Roman"/>
          <w:szCs w:val="22"/>
        </w:rPr>
        <w:t>4.6，当采用变频多联机、风冷热泵等其他类型的冷热源系统时，系统能效比参考该限值执行。</w:t>
      </w:r>
    </w:p>
    <w:p w14:paraId="33C420D1">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7</w:t>
      </w:r>
      <w:r>
        <w:rPr>
          <w:rFonts w:hint="default" w:ascii="Times New Roman" w:hAnsi="Times New Roman" w:cs="Times New Roman"/>
          <w:szCs w:val="22"/>
          <w:lang w:val="en-US" w:eastAsia="zh-CN"/>
        </w:rPr>
        <w:t>.</w:t>
      </w:r>
      <w:r>
        <w:rPr>
          <w:rFonts w:hint="default" w:ascii="Times New Roman" w:hAnsi="Times New Roman" w:cs="Times New Roman"/>
          <w:szCs w:val="22"/>
        </w:rPr>
        <w:t>区域供冷系统电冷源综合制冷性能系数不应低于表</w:t>
      </w:r>
      <w:r>
        <w:rPr>
          <w:rFonts w:hint="eastAsia" w:ascii="Times New Roman" w:hAnsi="Times New Roman" w:cs="Times New Roman"/>
          <w:szCs w:val="22"/>
          <w:lang w:val="en-US" w:eastAsia="zh-CN"/>
        </w:rPr>
        <w:t>5</w:t>
      </w:r>
      <w:r>
        <w:rPr>
          <w:rFonts w:hint="default" w:ascii="Times New Roman" w:hAnsi="Times New Roman" w:cs="Times New Roman"/>
          <w:szCs w:val="22"/>
        </w:rPr>
        <w:t>.3.2-2的规定。</w:t>
      </w:r>
    </w:p>
    <w:p w14:paraId="6C56D8A0">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 w:val="18"/>
          <w:szCs w:val="18"/>
        </w:rPr>
      </w:pPr>
      <w:r>
        <w:rPr>
          <w:rFonts w:hint="eastAsia" w:ascii="黑体" w:hAnsi="黑体" w:eastAsia="黑体" w:cs="黑体"/>
          <w:color w:val="000000"/>
          <w:sz w:val="18"/>
          <w:szCs w:val="18"/>
        </w:rPr>
        <w:t xml:space="preserve">表 </w:t>
      </w:r>
      <w:r>
        <w:rPr>
          <w:rFonts w:hint="eastAsia" w:ascii="黑体" w:hAnsi="黑体" w:eastAsia="黑体" w:cs="黑体"/>
          <w:color w:val="000000"/>
          <w:sz w:val="18"/>
          <w:szCs w:val="18"/>
          <w:lang w:val="en-US" w:eastAsia="zh-CN"/>
        </w:rPr>
        <w:t>5.3.2-1</w:t>
      </w:r>
      <w:r>
        <w:rPr>
          <w:rFonts w:ascii="黑体" w:hAnsi="黑体" w:eastAsia="黑体" w:cs="黑体"/>
          <w:color w:val="000000"/>
          <w:sz w:val="18"/>
          <w:szCs w:val="18"/>
        </w:rPr>
        <w:t xml:space="preserve">  </w:t>
      </w:r>
      <w:r>
        <w:rPr>
          <w:rFonts w:hint="eastAsia" w:ascii="黑体" w:hAnsi="黑体" w:eastAsia="黑体" w:cs="黑体"/>
          <w:color w:val="000000"/>
          <w:sz w:val="18"/>
          <w:szCs w:val="18"/>
        </w:rPr>
        <w:t>锅炉热效率指标要求（%）</w:t>
      </w:r>
    </w:p>
    <w:tbl>
      <w:tblPr>
        <w:tblStyle w:val="88"/>
        <w:tblW w:w="975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3249"/>
        <w:gridCol w:w="3251"/>
        <w:gridCol w:w="3252"/>
      </w:tblGrid>
      <w:tr w14:paraId="563F5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6500" w:type="dxa"/>
            <w:gridSpan w:val="2"/>
            <w:vAlign w:val="center"/>
          </w:tcPr>
          <w:p w14:paraId="31A80C66">
            <w:pPr>
              <w:overflowPunct w:val="0"/>
              <w:jc w:val="center"/>
              <w:rPr>
                <w:rFonts w:ascii="Times New Roman" w:hAnsi="Times New Roman" w:eastAsia="宋体" w:cs="Times New Roman"/>
                <w:sz w:val="18"/>
                <w:szCs w:val="18"/>
              </w:rPr>
            </w:pPr>
            <w:r>
              <w:rPr>
                <w:rFonts w:ascii="Times New Roman" w:hAnsi="Times New Roman" w:eastAsia="宋体" w:cs="Times New Roman"/>
                <w:sz w:val="18"/>
                <w:szCs w:val="18"/>
              </w:rPr>
              <w:t>锅炉类型及燃料种类</w:t>
            </w:r>
          </w:p>
        </w:tc>
        <w:tc>
          <w:tcPr>
            <w:tcW w:w="3252" w:type="dxa"/>
            <w:vAlign w:val="center"/>
          </w:tcPr>
          <w:p w14:paraId="39C90C5E">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锅炉热效率（%）</w:t>
            </w:r>
          </w:p>
        </w:tc>
      </w:tr>
      <w:tr w14:paraId="0513F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249" w:type="dxa"/>
            <w:vAlign w:val="center"/>
          </w:tcPr>
          <w:p w14:paraId="1969359C">
            <w:pPr>
              <w:overflowPunct w:val="0"/>
              <w:jc w:val="center"/>
              <w:rPr>
                <w:rFonts w:ascii="Times New Roman" w:hAnsi="Times New Roman" w:eastAsia="宋体" w:cs="Times New Roman"/>
                <w:sz w:val="18"/>
                <w:szCs w:val="18"/>
              </w:rPr>
            </w:pPr>
            <w:r>
              <w:rPr>
                <w:rFonts w:ascii="Times New Roman" w:hAnsi="Times New Roman" w:eastAsia="宋体" w:cs="Times New Roman"/>
                <w:sz w:val="18"/>
                <w:szCs w:val="18"/>
              </w:rPr>
              <w:t>燃气</w:t>
            </w:r>
            <w:r>
              <w:rPr>
                <w:rFonts w:hint="eastAsia" w:ascii="Times New Roman" w:hAnsi="Times New Roman" w:eastAsia="宋体" w:cs="Times New Roman"/>
                <w:sz w:val="18"/>
                <w:szCs w:val="18"/>
              </w:rPr>
              <w:t>锅炉</w:t>
            </w:r>
          </w:p>
        </w:tc>
        <w:tc>
          <w:tcPr>
            <w:tcW w:w="3251" w:type="dxa"/>
            <w:vAlign w:val="center"/>
          </w:tcPr>
          <w:p w14:paraId="598F784E">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燃气</w:t>
            </w:r>
          </w:p>
        </w:tc>
        <w:tc>
          <w:tcPr>
            <w:tcW w:w="3252" w:type="dxa"/>
            <w:vAlign w:val="center"/>
          </w:tcPr>
          <w:p w14:paraId="6263ED6A">
            <w:pPr>
              <w:overflowPunct w:val="0"/>
              <w:jc w:val="center"/>
              <w:rPr>
                <w:rFonts w:ascii="Times New Roman" w:hAnsi="Times New Roman" w:eastAsia="宋体" w:cs="Times New Roman"/>
                <w:sz w:val="18"/>
                <w:szCs w:val="18"/>
              </w:rPr>
            </w:pPr>
            <w:r>
              <w:rPr>
                <w:rFonts w:ascii="Times New Roman" w:hAnsi="Times New Roman" w:eastAsia="宋体" w:cs="Times New Roman"/>
                <w:sz w:val="18"/>
                <w:szCs w:val="18"/>
              </w:rPr>
              <w:t>9</w:t>
            </w:r>
            <w:r>
              <w:rPr>
                <w:rFonts w:hint="eastAsia" w:ascii="Times New Roman" w:hAnsi="Times New Roman" w:eastAsia="宋体" w:cs="Times New Roman"/>
                <w:sz w:val="18"/>
                <w:szCs w:val="18"/>
              </w:rPr>
              <w:t>6</w:t>
            </w:r>
          </w:p>
        </w:tc>
      </w:tr>
    </w:tbl>
    <w:p w14:paraId="775D12D3">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hint="eastAsia" w:ascii="黑体" w:hAnsi="黑体" w:eastAsia="黑体" w:cs="黑体"/>
          <w:sz w:val="18"/>
          <w:szCs w:val="18"/>
        </w:rPr>
        <w:t>表</w:t>
      </w:r>
      <w:r>
        <w:rPr>
          <w:rFonts w:hint="eastAsia" w:ascii="黑体" w:hAnsi="黑体" w:eastAsia="黑体" w:cs="黑体"/>
          <w:sz w:val="18"/>
          <w:szCs w:val="18"/>
          <w:lang w:val="en-US" w:eastAsia="zh-CN"/>
        </w:rPr>
        <w:t>5</w:t>
      </w:r>
      <w:r>
        <w:rPr>
          <w:rFonts w:hint="eastAsia" w:ascii="黑体" w:hAnsi="黑体" w:eastAsia="黑体" w:cs="黑体"/>
          <w:sz w:val="18"/>
          <w:szCs w:val="18"/>
        </w:rPr>
        <w:t>.3.2-2</w:t>
      </w:r>
      <w:r>
        <w:rPr>
          <w:rFonts w:ascii="黑体" w:hAnsi="黑体" w:eastAsia="黑体" w:cs="黑体"/>
          <w:sz w:val="18"/>
          <w:szCs w:val="18"/>
        </w:rPr>
        <w:t>　</w:t>
      </w:r>
      <w:r>
        <w:rPr>
          <w:rFonts w:hint="eastAsia" w:ascii="黑体" w:hAnsi="黑体" w:eastAsia="黑体" w:cs="黑体"/>
          <w:sz w:val="18"/>
          <w:szCs w:val="18"/>
        </w:rPr>
        <w:t>区域供冷系统电冷源综合制冷性能系数</w:t>
      </w:r>
    </w:p>
    <w:tbl>
      <w:tblPr>
        <w:tblStyle w:val="88"/>
        <w:tblW w:w="9362" w:type="dxa"/>
        <w:tblInd w:w="64"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3186"/>
        <w:gridCol w:w="3064"/>
        <w:gridCol w:w="3112"/>
      </w:tblGrid>
      <w:tr w14:paraId="69D30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Align w:val="center"/>
          </w:tcPr>
          <w:p w14:paraId="60928FFB">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类型</w:t>
            </w:r>
          </w:p>
        </w:tc>
        <w:tc>
          <w:tcPr>
            <w:tcW w:w="3064" w:type="dxa"/>
            <w:vAlign w:val="center"/>
          </w:tcPr>
          <w:p w14:paraId="677E944C">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名义制冷量CC（kW）</w:t>
            </w:r>
          </w:p>
        </w:tc>
        <w:tc>
          <w:tcPr>
            <w:tcW w:w="3112" w:type="dxa"/>
            <w:vAlign w:val="center"/>
          </w:tcPr>
          <w:p w14:paraId="2423DA60">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综合制冷性能系数SCOP（W/W）</w:t>
            </w:r>
          </w:p>
        </w:tc>
      </w:tr>
      <w:tr w14:paraId="423D0B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restart"/>
            <w:vAlign w:val="center"/>
          </w:tcPr>
          <w:p w14:paraId="08F6B5A5">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水冷螺杆式</w:t>
            </w:r>
          </w:p>
        </w:tc>
        <w:tc>
          <w:tcPr>
            <w:tcW w:w="3064" w:type="dxa"/>
            <w:vAlign w:val="center"/>
          </w:tcPr>
          <w:p w14:paraId="346D923D">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CC≤528</w:t>
            </w:r>
          </w:p>
        </w:tc>
        <w:tc>
          <w:tcPr>
            <w:tcW w:w="3112" w:type="dxa"/>
            <w:vAlign w:val="center"/>
          </w:tcPr>
          <w:p w14:paraId="6AC29187">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3.7</w:t>
            </w:r>
          </w:p>
        </w:tc>
      </w:tr>
      <w:tr w14:paraId="2BB79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continue"/>
            <w:vAlign w:val="center"/>
          </w:tcPr>
          <w:p w14:paraId="61D5AC83">
            <w:pPr>
              <w:overflowPunct w:val="0"/>
              <w:jc w:val="center"/>
              <w:rPr>
                <w:rFonts w:ascii="Times New Roman" w:hAnsi="Times New Roman" w:eastAsia="宋体" w:cs="Times New Roman"/>
                <w:sz w:val="18"/>
                <w:szCs w:val="18"/>
              </w:rPr>
            </w:pPr>
          </w:p>
        </w:tc>
        <w:tc>
          <w:tcPr>
            <w:tcW w:w="3064" w:type="dxa"/>
            <w:vAlign w:val="center"/>
          </w:tcPr>
          <w:p w14:paraId="32F054E5">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528＜CC≤1163</w:t>
            </w:r>
          </w:p>
        </w:tc>
        <w:tc>
          <w:tcPr>
            <w:tcW w:w="3112" w:type="dxa"/>
            <w:vAlign w:val="center"/>
          </w:tcPr>
          <w:p w14:paraId="7408DE66">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4.1</w:t>
            </w:r>
          </w:p>
        </w:tc>
      </w:tr>
      <w:tr w14:paraId="4438C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continue"/>
            <w:vAlign w:val="center"/>
          </w:tcPr>
          <w:p w14:paraId="45D4969D">
            <w:pPr>
              <w:overflowPunct w:val="0"/>
              <w:jc w:val="center"/>
              <w:rPr>
                <w:rFonts w:ascii="Times New Roman" w:hAnsi="Times New Roman" w:eastAsia="宋体" w:cs="Times New Roman"/>
                <w:sz w:val="18"/>
                <w:szCs w:val="18"/>
              </w:rPr>
            </w:pPr>
          </w:p>
        </w:tc>
        <w:tc>
          <w:tcPr>
            <w:tcW w:w="3064" w:type="dxa"/>
            <w:vAlign w:val="center"/>
          </w:tcPr>
          <w:p w14:paraId="1748AC48">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CC＞1163</w:t>
            </w:r>
          </w:p>
        </w:tc>
        <w:tc>
          <w:tcPr>
            <w:tcW w:w="3112" w:type="dxa"/>
            <w:vAlign w:val="center"/>
          </w:tcPr>
          <w:p w14:paraId="770DB2B3">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4.4</w:t>
            </w:r>
          </w:p>
        </w:tc>
      </w:tr>
      <w:tr w14:paraId="2D3ED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restart"/>
            <w:vAlign w:val="center"/>
          </w:tcPr>
          <w:p w14:paraId="6E99077F">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水冷离心式</w:t>
            </w:r>
          </w:p>
        </w:tc>
        <w:tc>
          <w:tcPr>
            <w:tcW w:w="3064" w:type="dxa"/>
            <w:shd w:val="clear" w:color="auto" w:fill="auto"/>
            <w:vAlign w:val="center"/>
          </w:tcPr>
          <w:p w14:paraId="195585B5">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CC≤1163</w:t>
            </w:r>
          </w:p>
        </w:tc>
        <w:tc>
          <w:tcPr>
            <w:tcW w:w="3112" w:type="dxa"/>
            <w:vAlign w:val="center"/>
          </w:tcPr>
          <w:p w14:paraId="7AB10D8F">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4.2</w:t>
            </w:r>
          </w:p>
        </w:tc>
      </w:tr>
      <w:tr w14:paraId="509BE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continue"/>
            <w:vAlign w:val="center"/>
          </w:tcPr>
          <w:p w14:paraId="76AE9EAF">
            <w:pPr>
              <w:overflowPunct w:val="0"/>
              <w:jc w:val="center"/>
              <w:rPr>
                <w:rFonts w:ascii="Times New Roman" w:hAnsi="Times New Roman" w:eastAsia="宋体" w:cs="Times New Roman"/>
                <w:sz w:val="18"/>
                <w:szCs w:val="18"/>
              </w:rPr>
            </w:pPr>
          </w:p>
        </w:tc>
        <w:tc>
          <w:tcPr>
            <w:tcW w:w="3064" w:type="dxa"/>
            <w:shd w:val="clear" w:color="auto" w:fill="auto"/>
            <w:vAlign w:val="center"/>
          </w:tcPr>
          <w:p w14:paraId="2B09DBEE">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1163＜CC≤2110</w:t>
            </w:r>
          </w:p>
        </w:tc>
        <w:tc>
          <w:tcPr>
            <w:tcW w:w="3112" w:type="dxa"/>
            <w:vAlign w:val="center"/>
          </w:tcPr>
          <w:p w14:paraId="712FD4B5">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4.5</w:t>
            </w:r>
          </w:p>
        </w:tc>
      </w:tr>
      <w:tr w14:paraId="05F92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c>
          <w:tcPr>
            <w:tcW w:w="3186" w:type="dxa"/>
            <w:vMerge w:val="continue"/>
            <w:vAlign w:val="center"/>
          </w:tcPr>
          <w:p w14:paraId="18C6674C">
            <w:pPr>
              <w:overflowPunct w:val="0"/>
              <w:jc w:val="center"/>
              <w:rPr>
                <w:rFonts w:ascii="Times New Roman" w:hAnsi="Times New Roman" w:eastAsia="宋体" w:cs="Times New Roman"/>
                <w:sz w:val="18"/>
                <w:szCs w:val="18"/>
              </w:rPr>
            </w:pPr>
          </w:p>
        </w:tc>
        <w:tc>
          <w:tcPr>
            <w:tcW w:w="3064" w:type="dxa"/>
            <w:shd w:val="clear" w:color="auto" w:fill="auto"/>
            <w:vAlign w:val="center"/>
          </w:tcPr>
          <w:p w14:paraId="297FC10E">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CC＞2110</w:t>
            </w:r>
          </w:p>
        </w:tc>
        <w:tc>
          <w:tcPr>
            <w:tcW w:w="3112" w:type="dxa"/>
            <w:vAlign w:val="center"/>
          </w:tcPr>
          <w:p w14:paraId="4DDB3B6C">
            <w:pPr>
              <w:overflowPunct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4.6</w:t>
            </w:r>
          </w:p>
        </w:tc>
      </w:tr>
    </w:tbl>
    <w:p w14:paraId="39BFFEEE">
      <w:pPr>
        <w:pStyle w:val="258"/>
        <w:ind w:left="0" w:leftChars="0" w:firstLine="0" w:firstLineChars="0"/>
      </w:pPr>
    </w:p>
    <w:p w14:paraId="07C9AD06">
      <w:pPr>
        <w:pStyle w:val="277"/>
        <w:numPr>
          <w:ilvl w:val="2"/>
          <w:numId w:val="39"/>
        </w:numPr>
        <w:spacing w:before="0" w:beforeLines="0" w:after="0" w:afterLines="0"/>
        <w:rPr>
          <w:rFonts w:hAnsi="黑体" w:eastAsia="宋体"/>
        </w:rPr>
      </w:pPr>
      <w:r>
        <w:rPr>
          <w:rFonts w:hint="eastAsia" w:hAnsi="黑体" w:eastAsia="宋体"/>
        </w:rPr>
        <w:t>超低能耗建筑宜设置排风热回收系统，热回收装置的交换效率应满足现行国家标准《热回收新风机组》GB/T 21087要求，达到表</w:t>
      </w:r>
      <w:r>
        <w:rPr>
          <w:rFonts w:hint="eastAsia" w:hAnsi="黑体" w:eastAsia="宋体"/>
          <w:lang w:val="en-US" w:eastAsia="zh-CN"/>
        </w:rPr>
        <w:t>5.3.3</w:t>
      </w:r>
      <w:r>
        <w:rPr>
          <w:rFonts w:hint="eastAsia" w:hAnsi="黑体" w:eastAsia="宋体"/>
        </w:rPr>
        <w:t>规定。采用排风热回收系统时，应进行风量平衡计算，避免多余渗透风量增加新风能耗。当建筑采用热泵供热或供生活热水时，宜采用冷回收型热泵。</w:t>
      </w:r>
    </w:p>
    <w:p w14:paraId="2D5C61E3">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 w:val="18"/>
          <w:szCs w:val="18"/>
        </w:rPr>
      </w:pPr>
      <w:r>
        <w:rPr>
          <w:rFonts w:hint="eastAsia" w:ascii="黑体" w:hAnsi="黑体" w:eastAsia="黑体" w:cs="黑体"/>
          <w:color w:val="000000"/>
          <w:sz w:val="18"/>
          <w:szCs w:val="18"/>
        </w:rPr>
        <w:t xml:space="preserve">表 </w:t>
      </w:r>
      <w:r>
        <w:rPr>
          <w:rFonts w:hint="eastAsia" w:ascii="黑体" w:hAnsi="黑体" w:eastAsia="黑体" w:cs="黑体"/>
          <w:color w:val="000000"/>
          <w:sz w:val="18"/>
          <w:szCs w:val="18"/>
          <w:lang w:val="en-US" w:eastAsia="zh-CN"/>
        </w:rPr>
        <w:t>5.3.3</w:t>
      </w:r>
      <w:r>
        <w:rPr>
          <w:rFonts w:ascii="黑体" w:hAnsi="黑体" w:eastAsia="黑体" w:cs="黑体"/>
          <w:color w:val="000000"/>
          <w:sz w:val="18"/>
          <w:szCs w:val="18"/>
        </w:rPr>
        <w:t xml:space="preserve">  热回收装置交换效率要求</w:t>
      </w:r>
    </w:p>
    <w:tbl>
      <w:tblPr>
        <w:tblStyle w:val="88"/>
        <w:tblW w:w="9362" w:type="dxa"/>
        <w:tblInd w:w="11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463"/>
        <w:gridCol w:w="2332"/>
        <w:gridCol w:w="2462"/>
      </w:tblGrid>
      <w:tr w14:paraId="770B7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68" w:type="dxa"/>
            <w:gridSpan w:val="2"/>
            <w:vAlign w:val="center"/>
          </w:tcPr>
          <w:p w14:paraId="4E333F71">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类型</w:t>
            </w:r>
          </w:p>
        </w:tc>
        <w:tc>
          <w:tcPr>
            <w:tcW w:w="2332" w:type="dxa"/>
            <w:vAlign w:val="center"/>
          </w:tcPr>
          <w:p w14:paraId="39DA5FB1">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冷量回收</w:t>
            </w:r>
          </w:p>
        </w:tc>
        <w:tc>
          <w:tcPr>
            <w:tcW w:w="2462" w:type="dxa"/>
            <w:vAlign w:val="center"/>
          </w:tcPr>
          <w:p w14:paraId="780FE691">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热量回收</w:t>
            </w:r>
          </w:p>
        </w:tc>
      </w:tr>
      <w:tr w14:paraId="748BF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273FBB47">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全热型ERV和ERC</w:t>
            </w:r>
          </w:p>
        </w:tc>
        <w:tc>
          <w:tcPr>
            <w:tcW w:w="2463" w:type="dxa"/>
            <w:vAlign w:val="center"/>
          </w:tcPr>
          <w:p w14:paraId="5AB1BB21">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全热交换效率</w:t>
            </w:r>
          </w:p>
        </w:tc>
        <w:tc>
          <w:tcPr>
            <w:tcW w:w="2332" w:type="dxa"/>
            <w:vAlign w:val="center"/>
          </w:tcPr>
          <w:p w14:paraId="37E00BAD">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＞55%</w:t>
            </w:r>
          </w:p>
        </w:tc>
        <w:tc>
          <w:tcPr>
            <w:tcW w:w="2462" w:type="dxa"/>
            <w:vAlign w:val="center"/>
          </w:tcPr>
          <w:p w14:paraId="72690B69">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＞60%</w:t>
            </w:r>
          </w:p>
        </w:tc>
      </w:tr>
      <w:tr w14:paraId="75696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530654AD">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显热型ERV和ERC</w:t>
            </w:r>
          </w:p>
        </w:tc>
        <w:tc>
          <w:tcPr>
            <w:tcW w:w="2463" w:type="dxa"/>
            <w:vAlign w:val="center"/>
          </w:tcPr>
          <w:p w14:paraId="0967CAA0">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显热交换效率</w:t>
            </w:r>
          </w:p>
        </w:tc>
        <w:tc>
          <w:tcPr>
            <w:tcW w:w="2332" w:type="dxa"/>
            <w:vAlign w:val="center"/>
          </w:tcPr>
          <w:p w14:paraId="513B6351">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＞65%</w:t>
            </w:r>
          </w:p>
        </w:tc>
        <w:tc>
          <w:tcPr>
            <w:tcW w:w="2462" w:type="dxa"/>
            <w:vAlign w:val="center"/>
          </w:tcPr>
          <w:p w14:paraId="3FE95DD3">
            <w:pPr>
              <w:overflowPunct w:val="0"/>
              <w:jc w:val="center"/>
              <w:rPr>
                <w:rStyle w:val="515"/>
                <w:rFonts w:hint="default" w:ascii="Times New Roman" w:hAnsi="Times New Roman" w:cs="Times New Roman"/>
                <w:color w:val="auto"/>
                <w:sz w:val="18"/>
                <w:szCs w:val="18"/>
              </w:rPr>
            </w:pPr>
            <w:r>
              <w:rPr>
                <w:rStyle w:val="515"/>
                <w:rFonts w:hint="default" w:ascii="Times New Roman" w:hAnsi="Times New Roman" w:cs="Times New Roman"/>
                <w:color w:val="auto"/>
                <w:sz w:val="18"/>
                <w:szCs w:val="18"/>
              </w:rPr>
              <w:t>＞70%</w:t>
            </w:r>
          </w:p>
        </w:tc>
      </w:tr>
    </w:tbl>
    <w:p w14:paraId="275A1304">
      <w:pPr>
        <w:pStyle w:val="258"/>
      </w:pPr>
    </w:p>
    <w:p w14:paraId="5D52198E">
      <w:pPr>
        <w:pStyle w:val="277"/>
        <w:numPr>
          <w:ilvl w:val="2"/>
          <w:numId w:val="39"/>
        </w:numPr>
        <w:spacing w:before="0" w:beforeLines="0" w:after="0" w:afterLines="0"/>
        <w:rPr>
          <w:rFonts w:hint="default" w:ascii="Times New Roman" w:hAnsi="Times New Roman" w:eastAsia="宋体" w:cs="Times New Roman"/>
        </w:rPr>
      </w:pPr>
      <w:r>
        <w:rPr>
          <w:rFonts w:hint="default" w:ascii="Times New Roman" w:hAnsi="Times New Roman" w:eastAsia="宋体" w:cs="Times New Roman"/>
        </w:rPr>
        <w:t>住宅建筑新风系统单位风量耗功率应小于0.45W/(m</w:t>
      </w:r>
      <w:r>
        <w:rPr>
          <w:rFonts w:hint="default" w:ascii="Times New Roman" w:hAnsi="Times New Roman" w:eastAsia="宋体" w:cs="Times New Roman"/>
          <w:vertAlign w:val="superscript"/>
        </w:rPr>
        <w:t>3</w:t>
      </w:r>
      <w:r>
        <w:rPr>
          <w:rFonts w:hint="default" w:ascii="Times New Roman" w:hAnsi="Times New Roman" w:eastAsia="宋体" w:cs="Times New Roman"/>
        </w:rPr>
        <w:t>/h)，公共建筑通风及空调系统风机单位风量耗功率应较现行《公共建筑节能设计标准》GB50189要求降低20%以上。</w:t>
      </w:r>
    </w:p>
    <w:p w14:paraId="2485FD5B">
      <w:pPr>
        <w:pStyle w:val="277"/>
        <w:numPr>
          <w:ilvl w:val="2"/>
          <w:numId w:val="39"/>
        </w:numPr>
        <w:spacing w:before="0" w:beforeLines="0" w:after="0" w:afterLines="0"/>
        <w:rPr>
          <w:rFonts w:hAnsi="黑体" w:eastAsia="宋体"/>
        </w:rPr>
      </w:pPr>
      <w:r>
        <w:rPr>
          <w:rFonts w:hint="eastAsia" w:hAnsi="黑体" w:eastAsia="宋体"/>
        </w:rPr>
        <w:t>集中空调</w:t>
      </w:r>
      <w:r>
        <w:rPr>
          <w:rFonts w:hAnsi="黑体" w:eastAsia="宋体"/>
        </w:rPr>
        <w:t>应采用高效率的空调水泵及风机，经过管路的优化设计，提高输配系统的能效，</w:t>
      </w:r>
      <w:r>
        <w:rPr>
          <w:rFonts w:hint="eastAsia" w:hAnsi="黑体" w:eastAsia="宋体"/>
        </w:rPr>
        <w:t>并</w:t>
      </w:r>
      <w:r>
        <w:rPr>
          <w:rFonts w:hAnsi="黑体" w:eastAsia="宋体"/>
        </w:rPr>
        <w:t>符合下列要求：</w:t>
      </w:r>
    </w:p>
    <w:p w14:paraId="6E550AE1">
      <w:pPr>
        <w:pStyle w:val="258"/>
        <w:tabs>
          <w:tab w:val="center" w:pos="4201"/>
          <w:tab w:val="right" w:leader="dot" w:pos="9298"/>
        </w:tabs>
        <w:ind w:firstLine="420"/>
        <w:rPr>
          <w:rFonts w:hint="default" w:ascii="Times New Roman" w:hAnsi="Times New Roman" w:eastAsia="宋体" w:cs="Times New Roman"/>
          <w:szCs w:val="22"/>
          <w:lang w:eastAsia="zh-CN"/>
        </w:rPr>
      </w:pPr>
      <w:r>
        <w:rPr>
          <w:rFonts w:hint="default" w:ascii="Times New Roman" w:hAnsi="Times New Roman" w:cs="Times New Roman"/>
          <w:szCs w:val="22"/>
        </w:rPr>
        <w:t>1.空调水泵、风机应达到相应能效评价标准的一级能效要求</w:t>
      </w:r>
      <w:r>
        <w:rPr>
          <w:rFonts w:hint="default" w:ascii="Times New Roman" w:hAnsi="Times New Roman" w:cs="Times New Roman"/>
          <w:szCs w:val="22"/>
          <w:lang w:eastAsia="zh-CN"/>
        </w:rPr>
        <w:t>。</w:t>
      </w:r>
    </w:p>
    <w:p w14:paraId="114BFDE1">
      <w:pPr>
        <w:pStyle w:val="258"/>
        <w:tabs>
          <w:tab w:val="center" w:pos="4201"/>
          <w:tab w:val="right" w:leader="dot" w:pos="9298"/>
        </w:tabs>
        <w:ind w:firstLine="420"/>
        <w:rPr>
          <w:rFonts w:hint="eastAsia" w:ascii="Times New Roman" w:hAnsi="Times New Roman" w:eastAsia="宋体" w:cs="Times New Roman"/>
          <w:szCs w:val="22"/>
          <w:lang w:eastAsia="zh-CN"/>
        </w:rPr>
      </w:pPr>
      <w:r>
        <w:rPr>
          <w:rFonts w:hint="default" w:ascii="Times New Roman" w:hAnsi="Times New Roman" w:cs="Times New Roman"/>
          <w:szCs w:val="22"/>
        </w:rPr>
        <w:t>2.空调冷热水系统循环水泵的耗电输冷（热）比宜较现行国家标准GB50736要求降低20%以上</w:t>
      </w:r>
      <w:r>
        <w:rPr>
          <w:rFonts w:hint="eastAsia" w:ascii="Times New Roman" w:hAnsi="Times New Roman" w:cs="Times New Roman"/>
          <w:szCs w:val="22"/>
          <w:lang w:eastAsia="zh-CN"/>
        </w:rPr>
        <w:t>。</w:t>
      </w:r>
    </w:p>
    <w:p w14:paraId="2C79489E">
      <w:pPr>
        <w:pStyle w:val="258"/>
        <w:tabs>
          <w:tab w:val="center" w:pos="4201"/>
          <w:tab w:val="right" w:leader="dot" w:pos="9298"/>
        </w:tabs>
        <w:ind w:firstLine="420"/>
        <w:rPr>
          <w:rFonts w:hint="default" w:ascii="Times New Roman" w:hAnsi="Times New Roman" w:cs="Times New Roman"/>
          <w:szCs w:val="22"/>
        </w:rPr>
      </w:pPr>
      <w:r>
        <w:rPr>
          <w:rFonts w:hint="default" w:ascii="Times New Roman" w:hAnsi="Times New Roman" w:cs="Times New Roman"/>
          <w:szCs w:val="22"/>
        </w:rPr>
        <w:t>3.空调水系统、风系统宜采用变频措施。</w:t>
      </w:r>
    </w:p>
    <w:p w14:paraId="048B3103">
      <w:pPr>
        <w:pStyle w:val="277"/>
        <w:numPr>
          <w:ilvl w:val="2"/>
          <w:numId w:val="39"/>
        </w:numPr>
        <w:spacing w:before="0" w:beforeLines="0" w:after="0" w:afterLines="0"/>
        <w:rPr>
          <w:rFonts w:hAnsi="黑体" w:eastAsia="宋体"/>
        </w:rPr>
      </w:pPr>
      <w:r>
        <w:rPr>
          <w:rFonts w:hint="eastAsia" w:hAnsi="黑体" w:eastAsia="宋体"/>
        </w:rPr>
        <w:t>应采取措施降低过渡季节空调能耗，可采取的措施包括可调新风比、空气侧经济器、冷却塔免费供冷等。</w:t>
      </w:r>
    </w:p>
    <w:p w14:paraId="2A19768B">
      <w:pPr>
        <w:pStyle w:val="277"/>
        <w:numPr>
          <w:ilvl w:val="2"/>
          <w:numId w:val="39"/>
        </w:numPr>
        <w:spacing w:before="0" w:beforeLines="0" w:after="0" w:afterLines="0"/>
        <w:rPr>
          <w:rFonts w:hAnsi="黑体" w:eastAsia="宋体"/>
        </w:rPr>
      </w:pPr>
      <w:r>
        <w:rPr>
          <w:rFonts w:hint="eastAsia" w:hAnsi="黑体" w:eastAsia="宋体"/>
        </w:rPr>
        <w:t>应根据气候特征，选取适宜的除湿方案；当采用冷冻除湿方案时，其再热过程不应增加除风机能耗外的其他能耗；冷冻除湿系统应纳入空调制冷机房系统能效比计算。</w:t>
      </w:r>
    </w:p>
    <w:p w14:paraId="6C322005">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除湿能耗是空调能耗的重要组成部分，为了满足除湿需求，往往需要更低的冷冻水温度，甚至还需要再热，因此温湿度联合处理过程的能耗很高。采用温度和湿度两套独立的空调系统，分别控制、调节室内的温度和湿度，可以避免常规空调系统中温湿度联合处理所带来的损失。根据《独立新风空调设备评价要求》（GB/T 40390-2021）标准要求，Ⅰ级适用区（焓时数≥60000 kj·h/kg）应优先采用温湿分控空调系统，Ⅱ级、Ⅲ级适用区（60000 kj·h/kg＞焓时数≥20000 kj·h/kg）在经济合理的前提下，宜采用温湿分控空调系统。温湿分控空调系统的除湿方案主要包括新风溶液除湿、新风转轮再热除湿和冷冻除湿。</w:t>
      </w:r>
    </w:p>
    <w:p w14:paraId="0BBDEF9D">
      <w:pPr>
        <w:tabs>
          <w:tab w:val="left" w:pos="397"/>
        </w:tabs>
        <w:overflowPunct w:val="0"/>
        <w:ind w:firstLine="420" w:firstLineChars="200"/>
        <w:rPr>
          <w:rFonts w:ascii="Times New Roman" w:hAnsi="Times New Roman" w:cs="Times New Roman"/>
          <w:color w:val="0000FF"/>
          <w:szCs w:val="21"/>
        </w:rPr>
      </w:pPr>
      <w:r>
        <w:rPr>
          <w:rFonts w:hint="eastAsia" w:ascii="Times New Roman" w:hAnsi="Times New Roman" w:cs="Times New Roman"/>
          <w:color w:val="0000FF"/>
          <w:szCs w:val="21"/>
        </w:rPr>
        <w:t>当采用冷冻除湿方案时，再热过程应优先采用回风再热方案，回风再热过程无须热源，无须布置水管，系统简单。再热过程也可以采用热回收型冷源方案，可以认为再热量未消耗电能，因此规定当采用冷冻除湿方案时，其再热过程不应增加除风机能耗外的其他能耗，不应采用锅炉等消耗能源的热源作为再热热源。</w:t>
      </w:r>
    </w:p>
    <w:p w14:paraId="3432F07F">
      <w:pPr>
        <w:tabs>
          <w:tab w:val="left" w:pos="397"/>
        </w:tabs>
        <w:overflowPunct w:val="0"/>
        <w:ind w:firstLine="420" w:firstLineChars="200"/>
      </w:pPr>
      <w:r>
        <w:rPr>
          <w:rFonts w:hint="eastAsia" w:ascii="Times New Roman" w:hAnsi="Times New Roman" w:cs="Times New Roman"/>
          <w:color w:val="0000FF"/>
          <w:szCs w:val="21"/>
        </w:rPr>
        <w:t>计算空调制冷机房系统能效比，不应仅计算集中冷源的系统能效比，还应把冷冻除湿系统纳入一并计算。值得注意的时，热回收型冷源方案的热回收量被定义为免费提供，冷源的总供冷量中不应计入回收的再热热量。</w:t>
      </w:r>
    </w:p>
    <w:p w14:paraId="6A2C92F6">
      <w:pPr>
        <w:pStyle w:val="277"/>
        <w:numPr>
          <w:ilvl w:val="2"/>
          <w:numId w:val="39"/>
        </w:numPr>
        <w:spacing w:before="0" w:beforeLines="0" w:after="0" w:afterLines="0"/>
        <w:rPr>
          <w:rFonts w:hAnsi="黑体" w:eastAsia="宋体"/>
        </w:rPr>
      </w:pPr>
      <w:r>
        <w:rPr>
          <w:rFonts w:hint="eastAsia" w:hAnsi="黑体" w:eastAsia="宋体"/>
        </w:rPr>
        <w:t>宜采用风扇等个性化热环境调节装置，室内过渡空间应提高空调设定温度，减少空调运行时间，降低空调能耗。</w:t>
      </w:r>
    </w:p>
    <w:p w14:paraId="391D8D8D">
      <w:pPr>
        <w:pStyle w:val="277"/>
        <w:numPr>
          <w:ilvl w:val="2"/>
          <w:numId w:val="39"/>
        </w:numPr>
        <w:spacing w:before="0" w:beforeLines="0" w:after="0" w:afterLines="0"/>
        <w:rPr>
          <w:rFonts w:ascii="宋体" w:hAnsi="宋体" w:eastAsia="宋体"/>
        </w:rPr>
      </w:pPr>
      <w:r>
        <w:rPr>
          <w:rFonts w:hint="eastAsia" w:ascii="宋体" w:hAnsi="宋体" w:eastAsia="宋体"/>
        </w:rPr>
        <w:t>应在主要功能区域设置室内空气品质监测系统，对室内温度、湿度、PM</w:t>
      </w:r>
      <w:r>
        <w:rPr>
          <w:rFonts w:hint="eastAsia" w:ascii="宋体" w:hAnsi="宋体" w:eastAsia="宋体"/>
          <w:vertAlign w:val="subscript"/>
        </w:rPr>
        <w:t>10</w:t>
      </w:r>
      <w:r>
        <w:rPr>
          <w:rFonts w:hint="eastAsia" w:ascii="宋体" w:hAnsi="宋体" w:eastAsia="宋体"/>
        </w:rPr>
        <w:t>、PM</w:t>
      </w:r>
      <w:r>
        <w:rPr>
          <w:rFonts w:hint="eastAsia" w:ascii="宋体" w:hAnsi="宋体" w:eastAsia="宋体"/>
          <w:vertAlign w:val="subscript"/>
        </w:rPr>
        <w:t>2.5</w:t>
      </w:r>
      <w:r>
        <w:rPr>
          <w:rFonts w:hint="eastAsia" w:ascii="宋体" w:hAnsi="宋体" w:eastAsia="宋体"/>
        </w:rPr>
        <w:t>、CO</w:t>
      </w:r>
      <w:r>
        <w:rPr>
          <w:rFonts w:hint="eastAsia" w:ascii="宋体" w:hAnsi="宋体" w:eastAsia="宋体"/>
          <w:vertAlign w:val="subscript"/>
        </w:rPr>
        <w:t>2</w:t>
      </w:r>
      <w:r>
        <w:rPr>
          <w:rFonts w:hint="eastAsia" w:ascii="宋体" w:hAnsi="宋体" w:eastAsia="宋体"/>
        </w:rPr>
        <w:t>浓度进行数据监测和实时显示；按照设计时所取的室内环境参数设定建筑室内环境临界值，并按照实际运行情况进行及时调整。</w:t>
      </w:r>
    </w:p>
    <w:p w14:paraId="16934057">
      <w:pPr>
        <w:pStyle w:val="277"/>
        <w:numPr>
          <w:ilvl w:val="2"/>
          <w:numId w:val="39"/>
        </w:numPr>
        <w:spacing w:before="0" w:beforeLines="0" w:after="0" w:afterLines="0"/>
        <w:rPr>
          <w:rFonts w:hAnsi="黑体" w:eastAsia="宋体"/>
        </w:rPr>
      </w:pPr>
      <w:r>
        <w:rPr>
          <w:rFonts w:hAnsi="黑体" w:eastAsia="宋体"/>
        </w:rPr>
        <w:t>住宅建筑厨房抽油烟机</w:t>
      </w:r>
      <w:r>
        <w:rPr>
          <w:rFonts w:hint="eastAsia" w:hAnsi="黑体" w:eastAsia="宋体"/>
        </w:rPr>
        <w:t>的运行对建筑</w:t>
      </w:r>
      <w:r>
        <w:rPr>
          <w:rFonts w:hAnsi="黑体" w:eastAsia="宋体"/>
        </w:rPr>
        <w:t>气密性有较大影响，抽油烟机应选择体积流量小、捕集率高的设备</w:t>
      </w:r>
      <w:r>
        <w:rPr>
          <w:rFonts w:hint="eastAsia" w:hAnsi="黑体" w:eastAsia="宋体"/>
        </w:rPr>
        <w:t>，宜设置独立的排油烟补风系统，并符合下列要求：</w:t>
      </w:r>
    </w:p>
    <w:p w14:paraId="137CBE42">
      <w:pPr>
        <w:pStyle w:val="258"/>
        <w:tabs>
          <w:tab w:val="center" w:pos="4201"/>
          <w:tab w:val="right" w:leader="dot" w:pos="9298"/>
        </w:tabs>
        <w:ind w:firstLine="420"/>
        <w:rPr>
          <w:szCs w:val="22"/>
        </w:rPr>
      </w:pPr>
      <w:r>
        <w:rPr>
          <w:rFonts w:hint="eastAsia"/>
          <w:szCs w:val="22"/>
        </w:rPr>
        <w:t>1.</w:t>
      </w:r>
      <w:r>
        <w:rPr>
          <w:szCs w:val="22"/>
        </w:rPr>
        <w:t>补风从室外直接引入，并设保温密闭型电动风阀，且电动风阀与排油烟机联动；</w:t>
      </w:r>
    </w:p>
    <w:p w14:paraId="7F268198">
      <w:pPr>
        <w:pStyle w:val="258"/>
        <w:tabs>
          <w:tab w:val="center" w:pos="4201"/>
          <w:tab w:val="right" w:leader="dot" w:pos="9298"/>
        </w:tabs>
        <w:ind w:firstLine="420"/>
        <w:rPr>
          <w:rFonts w:hint="eastAsia"/>
          <w:szCs w:val="22"/>
        </w:rPr>
      </w:pPr>
      <w:r>
        <w:rPr>
          <w:rFonts w:hint="eastAsia"/>
          <w:szCs w:val="22"/>
        </w:rPr>
        <w:t>2.</w:t>
      </w:r>
      <w:r>
        <w:rPr>
          <w:szCs w:val="22"/>
        </w:rPr>
        <w:t>补风口尽可能设置在灶台附近</w:t>
      </w:r>
      <w:r>
        <w:rPr>
          <w:rFonts w:hint="eastAsia"/>
          <w:szCs w:val="22"/>
        </w:rPr>
        <w:t>。</w:t>
      </w:r>
    </w:p>
    <w:p w14:paraId="642A0532">
      <w:pPr>
        <w:pStyle w:val="277"/>
        <w:numPr>
          <w:ilvl w:val="2"/>
          <w:numId w:val="39"/>
        </w:numPr>
        <w:spacing w:before="0" w:beforeLines="0" w:after="0" w:afterLines="0"/>
        <w:rPr>
          <w:rFonts w:hint="eastAsia" w:hAnsi="黑体" w:eastAsia="宋体"/>
        </w:rPr>
      </w:pPr>
      <w:r>
        <w:rPr>
          <w:rFonts w:hint="eastAsia" w:hAnsi="黑体" w:eastAsia="宋体"/>
        </w:rPr>
        <w:t>地源热泵系统的设计应用应符合下列规定：</w:t>
      </w:r>
    </w:p>
    <w:p w14:paraId="2397C8D1">
      <w:pPr>
        <w:pStyle w:val="258"/>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应根据建筑负荷特点，对现场条件、能源政策、节能性和经济性等进行分析，与常规空调系统冷热源方案系统进行全年能耗和运行费用对比，对采用地源热泵系统进行工程可行性分析</w:t>
      </w:r>
      <w:r>
        <w:rPr>
          <w:rFonts w:hint="default" w:ascii="Times New Roman" w:hAnsi="Times New Roman" w:cs="Times New Roman"/>
          <w:lang w:val="en-US" w:eastAsia="zh-CN"/>
        </w:rPr>
        <w:t>。</w:t>
      </w:r>
    </w:p>
    <w:p w14:paraId="0836F512">
      <w:pPr>
        <w:pStyle w:val="258"/>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应根据建筑负荷特点，对建筑全年冷、热负荷特性进行分析，确定合理的地源热泵系统配置方案。宜根据负荷情况与其他空调冷热源组成复合式冷热源系统</w:t>
      </w:r>
      <w:r>
        <w:rPr>
          <w:rFonts w:hint="default" w:ascii="Times New Roman" w:hAnsi="Times New Roman" w:cs="Times New Roman"/>
          <w:lang w:val="en-US" w:eastAsia="zh-CN"/>
        </w:rPr>
        <w:t>。</w:t>
      </w:r>
    </w:p>
    <w:p w14:paraId="60219792">
      <w:pPr>
        <w:pStyle w:val="258"/>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建筑面积≤5000m2时，可采用地源热泵作为空调系统的单一冷热源，埋管侧或地表水换热器应按夏季最大释热量进行设计；建筑面积＞5000m2时，应采用复合式地源热泵系统，埋管侧或地表水换热器应按冬季最大取热量进行设计，夏季不足部分可采用冷却塔+冷水机组、空气源热泵等辅助冷源供冷</w:t>
      </w:r>
      <w:r>
        <w:rPr>
          <w:rFonts w:hint="default" w:ascii="Times New Roman" w:hAnsi="Times New Roman" w:cs="Times New Roman"/>
          <w:lang w:val="en-US" w:eastAsia="zh-CN"/>
        </w:rPr>
        <w:t>。</w:t>
      </w:r>
    </w:p>
    <w:p w14:paraId="0E115349">
      <w:pPr>
        <w:pStyle w:val="258"/>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地源热泵机组的能效不应低于现行国家标准《热泵和冷水机组能效限定值及能效等级》GB19577规定的1级能效。</w:t>
      </w:r>
    </w:p>
    <w:p w14:paraId="5E7ACF99">
      <w:pPr>
        <w:pStyle w:val="258"/>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地源热泵系统应兼顾生活热水需求，有稳定热水需求的公共建筑，应根据负荷特点选用部分或全部热回收型地源热泵机组。</w:t>
      </w:r>
    </w:p>
    <w:p w14:paraId="4A3D1BB7">
      <w:pPr>
        <w:pStyle w:val="258"/>
        <w:rPr>
          <w:rFonts w:hint="eastAsia" w:eastAsia="宋体"/>
          <w:lang w:val="en-US" w:eastAsia="zh-CN"/>
        </w:rPr>
      </w:pPr>
    </w:p>
    <w:p w14:paraId="79AA326D">
      <w:pPr>
        <w:pStyle w:val="258"/>
        <w:rPr>
          <w:rFonts w:hint="eastAsia" w:eastAsia="宋体"/>
          <w:lang w:val="en-US" w:eastAsia="zh-CN"/>
        </w:rPr>
      </w:pPr>
    </w:p>
    <w:p w14:paraId="07E698DC">
      <w:pPr>
        <w:pStyle w:val="258"/>
        <w:numPr>
          <w:ilvl w:val="1"/>
          <w:numId w:val="37"/>
        </w:numPr>
        <w:spacing w:before="156" w:beforeLines="50" w:after="156" w:afterLines="50"/>
        <w:ind w:firstLineChars="0"/>
        <w:outlineLvl w:val="1"/>
        <w:rPr>
          <w:rFonts w:ascii="黑体" w:hAnsi="黑体" w:eastAsia="黑体"/>
        </w:rPr>
      </w:pPr>
      <w:bookmarkStart w:id="33" w:name="_Toc19344"/>
      <w:r>
        <w:rPr>
          <w:rFonts w:ascii="黑体" w:hAnsi="黑体" w:eastAsia="黑体"/>
        </w:rPr>
        <w:t>给排水设计</w:t>
      </w:r>
      <w:bookmarkEnd w:id="33"/>
    </w:p>
    <w:p w14:paraId="1F626928">
      <w:pPr>
        <w:spacing w:before="156" w:beforeLines="50" w:after="156" w:afterLines="50" w:line="360" w:lineRule="auto"/>
        <w:jc w:val="center"/>
        <w:rPr>
          <w:rFonts w:ascii="黑体" w:hAnsi="黑体" w:eastAsia="黑体"/>
        </w:rPr>
      </w:pPr>
      <w:r>
        <w:rPr>
          <w:rFonts w:hint="eastAsia" w:ascii="宋体" w:hAnsi="宋体" w:cs="宋体"/>
          <w:b/>
          <w:szCs w:val="21"/>
        </w:rPr>
        <w:t>Ⅰ</w:t>
      </w:r>
      <w:r>
        <w:rPr>
          <w:rFonts w:hint="eastAsia"/>
          <w:b/>
          <w:szCs w:val="21"/>
        </w:rPr>
        <w:t>给排水系统</w:t>
      </w:r>
    </w:p>
    <w:p w14:paraId="06F1D234">
      <w:pPr>
        <w:pStyle w:val="277"/>
        <w:numPr>
          <w:ilvl w:val="2"/>
          <w:numId w:val="40"/>
        </w:numPr>
        <w:spacing w:before="0" w:beforeLines="0" w:after="0" w:afterLines="0"/>
        <w:rPr>
          <w:rFonts w:hAnsi="黑体" w:eastAsia="宋体"/>
        </w:rPr>
      </w:pPr>
      <w:r>
        <w:rPr>
          <w:rFonts w:hint="eastAsia" w:hAnsi="黑体" w:eastAsia="宋体"/>
        </w:rPr>
        <w:t>建筑给水节水设计应符合现行国家规范《建筑给水排水与节水通用规范》GB55020以及现行国家标准《建筑给水排水设计标准》GB50015和《民用建筑节水设计标准》GB50555有关规定。</w:t>
      </w:r>
    </w:p>
    <w:p w14:paraId="4B58E672">
      <w:pPr>
        <w:pStyle w:val="277"/>
        <w:numPr>
          <w:ilvl w:val="2"/>
          <w:numId w:val="40"/>
        </w:numPr>
        <w:spacing w:before="0" w:beforeLines="0" w:after="0" w:afterLines="0"/>
        <w:rPr>
          <w:rFonts w:hAnsi="黑体" w:eastAsia="宋体"/>
        </w:rPr>
      </w:pPr>
      <w:r>
        <w:rPr>
          <w:rFonts w:hint="eastAsia" w:hAnsi="黑体" w:eastAsia="宋体"/>
          <w:lang w:val="en-US" w:eastAsia="zh-CN"/>
        </w:rPr>
        <w:t>离心</w:t>
      </w:r>
      <w:r>
        <w:rPr>
          <w:rFonts w:hint="eastAsia" w:hAnsi="黑体" w:eastAsia="宋体"/>
        </w:rPr>
        <w:t>泵的效率不应低于现行国家标准《</w:t>
      </w:r>
      <w:r>
        <w:rPr>
          <w:rFonts w:hint="eastAsia" w:hAnsi="黑体" w:eastAsia="宋体"/>
          <w:lang w:eastAsia="zh-CN"/>
        </w:rPr>
        <w:t>离心泵能效限定值及能效等级</w:t>
      </w:r>
      <w:r>
        <w:rPr>
          <w:rFonts w:hint="eastAsia" w:hAnsi="黑体" w:eastAsia="宋体"/>
        </w:rPr>
        <w:t>》</w:t>
      </w:r>
      <w:r>
        <w:rPr>
          <w:rFonts w:hAnsi="黑体" w:eastAsia="宋体"/>
        </w:rPr>
        <w:t>GB 19762规定的</w:t>
      </w:r>
      <w:r>
        <w:rPr>
          <w:rFonts w:hint="eastAsia" w:hAnsi="黑体" w:eastAsia="宋体"/>
          <w:lang w:val="en-US" w:eastAsia="zh-CN"/>
        </w:rPr>
        <w:t>二级能效</w:t>
      </w:r>
      <w:r>
        <w:rPr>
          <w:rFonts w:hint="eastAsia" w:hAnsi="黑体" w:eastAsia="宋体"/>
        </w:rPr>
        <w:t>。</w:t>
      </w:r>
    </w:p>
    <w:p w14:paraId="43C92A57">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【条文说明】生活给水系统加压水泵、热水系统和直饮水供应系统的循环水泵均为清水离心泵，是主要的用能设备，应按现行国家标准《</w:t>
      </w:r>
      <w:r>
        <w:rPr>
          <w:rFonts w:hint="eastAsia" w:cs="Times New Roman"/>
          <w:color w:val="0000FF"/>
          <w:szCs w:val="21"/>
          <w:lang w:eastAsia="zh-CN"/>
        </w:rPr>
        <w:t>离心泵能效限定值及能效等级</w:t>
      </w:r>
      <w:r>
        <w:rPr>
          <w:rFonts w:hint="eastAsia" w:ascii="Times New Roman" w:hAnsi="Times New Roman" w:cs="Times New Roman"/>
          <w:color w:val="0000FF"/>
          <w:szCs w:val="21"/>
        </w:rPr>
        <w:t>》GB 19762的有关规定</w:t>
      </w:r>
      <w:r>
        <w:rPr>
          <w:rFonts w:hint="eastAsia" w:cs="Times New Roman"/>
          <w:color w:val="0000FF"/>
          <w:szCs w:val="21"/>
          <w:lang w:val="en-US" w:eastAsia="zh-CN"/>
        </w:rPr>
        <w:t>进行计算</w:t>
      </w:r>
      <w:r>
        <w:rPr>
          <w:rFonts w:hint="eastAsia" w:ascii="Times New Roman" w:hAnsi="Times New Roman" w:cs="Times New Roman"/>
          <w:color w:val="0000FF"/>
          <w:szCs w:val="21"/>
        </w:rPr>
        <w:t>，</w:t>
      </w:r>
      <w:r>
        <w:rPr>
          <w:rFonts w:hint="eastAsia" w:cs="Times New Roman"/>
          <w:color w:val="0000FF"/>
          <w:szCs w:val="21"/>
          <w:lang w:val="en-US" w:eastAsia="zh-CN"/>
        </w:rPr>
        <w:t>达到二级能效也是《建筑给水排水与节水通用规范》GB55020中3.4.5条的规定</w:t>
      </w:r>
      <w:r>
        <w:rPr>
          <w:rFonts w:hint="eastAsia" w:ascii="Times New Roman" w:hAnsi="Times New Roman" w:cs="Times New Roman"/>
          <w:color w:val="0000FF"/>
          <w:szCs w:val="21"/>
        </w:rPr>
        <w:t>。</w:t>
      </w:r>
    </w:p>
    <w:p w14:paraId="27E2B44B">
      <w:pPr>
        <w:pStyle w:val="277"/>
        <w:numPr>
          <w:ilvl w:val="2"/>
          <w:numId w:val="40"/>
        </w:numPr>
        <w:spacing w:before="0" w:beforeLines="0" w:after="0" w:afterLines="0"/>
        <w:rPr>
          <w:rFonts w:hAnsi="黑体" w:eastAsia="宋体"/>
        </w:rPr>
      </w:pPr>
      <w:r>
        <w:rPr>
          <w:rFonts w:hint="eastAsia" w:hAnsi="黑体" w:eastAsia="宋体"/>
        </w:rPr>
        <w:t>卫生器具的用水效率等级应不低于2级，宜不低于1级。</w:t>
      </w:r>
    </w:p>
    <w:p w14:paraId="2178C395">
      <w:pPr>
        <w:pStyle w:val="258"/>
        <w:ind w:left="0" w:leftChars="0" w:firstLine="0" w:firstLineChars="0"/>
        <w:rPr>
          <w:rFonts w:hint="default" w:eastAsia="宋体"/>
          <w:lang w:val="en-US" w:eastAsia="zh-CN"/>
        </w:rPr>
      </w:pPr>
      <w:r>
        <w:rPr>
          <w:rFonts w:hint="eastAsia" w:ascii="Times New Roman" w:hAnsi="Times New Roman" w:cs="Times New Roman"/>
          <w:color w:val="0000FF"/>
          <w:szCs w:val="21"/>
        </w:rPr>
        <w:t>【条文说明】</w:t>
      </w:r>
      <w:r>
        <w:rPr>
          <w:rFonts w:hint="eastAsia" w:ascii="Times New Roman" w:cs="Times New Roman"/>
          <w:color w:val="0000FF"/>
          <w:szCs w:val="21"/>
          <w:lang w:val="en-US" w:eastAsia="zh-CN"/>
        </w:rPr>
        <w:t>目前，我国已对大部分用水器具的水效等级制定了标准，具体参数要求可参照：《水嘴水效限定值及水效等级》GB25501、《坐便器水效限定值及水效等级》GB 25502、《小便器水效限定值及水效等级》GB28377、《淋浴器水效限定值及水效等级》GB28378、《蹲便器水效限定值及水效等级》GB30717、《便器冲洗阀水效限定值及水效等级》GB28379。</w:t>
      </w:r>
    </w:p>
    <w:p w14:paraId="230EE7C1">
      <w:pPr>
        <w:pStyle w:val="277"/>
        <w:numPr>
          <w:ilvl w:val="2"/>
          <w:numId w:val="40"/>
        </w:numPr>
        <w:spacing w:before="0" w:beforeLines="0" w:after="0" w:afterLines="0"/>
        <w:rPr>
          <w:rFonts w:hint="eastAsia" w:hAnsi="黑体" w:eastAsia="宋体"/>
        </w:rPr>
      </w:pPr>
      <w:r>
        <w:rPr>
          <w:rFonts w:hint="eastAsia" w:hAnsi="黑体" w:eastAsia="宋体"/>
        </w:rPr>
        <w:t>给水系统应充分利用室外管网压力直接供水。</w:t>
      </w:r>
    </w:p>
    <w:p w14:paraId="5E1F743F">
      <w:pPr>
        <w:pStyle w:val="277"/>
        <w:numPr>
          <w:ilvl w:val="2"/>
          <w:numId w:val="40"/>
        </w:numPr>
        <w:spacing w:before="0" w:beforeLines="0" w:after="0" w:afterLines="0"/>
        <w:rPr>
          <w:rFonts w:hint="eastAsia" w:hAnsi="黑体" w:eastAsia="宋体"/>
        </w:rPr>
      </w:pPr>
      <w:r>
        <w:rPr>
          <w:rFonts w:hint="eastAsia" w:hAnsi="黑体" w:eastAsia="宋体"/>
        </w:rPr>
        <w:t>二次加压泵房应设置在建筑物或建筑小区中用水量大的部位。当用水点分散时，宜居中布置。</w:t>
      </w:r>
    </w:p>
    <w:p w14:paraId="168BE6AA">
      <w:pPr>
        <w:pStyle w:val="277"/>
        <w:numPr>
          <w:ilvl w:val="2"/>
          <w:numId w:val="40"/>
        </w:numPr>
        <w:spacing w:before="0" w:beforeLines="0" w:after="0" w:afterLines="0"/>
        <w:rPr>
          <w:rFonts w:hint="eastAsia" w:hAnsi="黑体" w:eastAsia="宋体"/>
        </w:rPr>
      </w:pPr>
      <w:r>
        <w:rPr>
          <w:rFonts w:hint="eastAsia" w:hAnsi="黑体" w:eastAsia="宋体"/>
        </w:rPr>
        <w:t>集中空调冷却水、游泳池水、洗车场洗车用水、水源热泵用水应循环使用。</w:t>
      </w:r>
    </w:p>
    <w:p w14:paraId="6EF3E499">
      <w:pPr>
        <w:pStyle w:val="277"/>
        <w:numPr>
          <w:ilvl w:val="2"/>
          <w:numId w:val="40"/>
        </w:numPr>
        <w:spacing w:before="0" w:beforeLines="0" w:after="0" w:afterLines="0"/>
        <w:rPr>
          <w:rFonts w:hint="eastAsia" w:hAnsi="黑体" w:eastAsia="宋体"/>
        </w:rPr>
      </w:pPr>
      <w:r>
        <w:rPr>
          <w:rFonts w:hint="eastAsia" w:hAnsi="黑体" w:eastAsia="宋体"/>
        </w:rPr>
        <w:t>空调凝结水、水池（水箱）清洗废水、生活给水处理排水应优先作为中水系统水源。</w:t>
      </w:r>
    </w:p>
    <w:p w14:paraId="21D2EDDB">
      <w:pPr>
        <w:pStyle w:val="277"/>
        <w:numPr>
          <w:ilvl w:val="2"/>
          <w:numId w:val="40"/>
        </w:numPr>
        <w:spacing w:before="0" w:beforeLines="0" w:after="0" w:afterLines="0"/>
        <w:rPr>
          <w:rFonts w:hint="eastAsia" w:hAnsi="黑体" w:eastAsia="宋体"/>
        </w:rPr>
      </w:pPr>
      <w:r>
        <w:rPr>
          <w:rFonts w:hint="eastAsia" w:hAnsi="黑体" w:eastAsia="宋体"/>
        </w:rPr>
        <w:t>生活热水系统的热源应符合下列规定：</w:t>
      </w:r>
    </w:p>
    <w:p w14:paraId="6B502293">
      <w:pPr>
        <w:pStyle w:val="258"/>
        <w:rPr>
          <w:rFonts w:hint="eastAsia"/>
        </w:rPr>
      </w:pPr>
      <w:r>
        <w:rPr>
          <w:rFonts w:hint="eastAsia"/>
        </w:rPr>
        <w:t>1</w:t>
      </w:r>
      <w:r>
        <w:rPr>
          <w:rFonts w:hint="eastAsia"/>
          <w:lang w:val="en-US" w:eastAsia="zh-CN"/>
        </w:rPr>
        <w:t>.</w:t>
      </w:r>
      <w:r>
        <w:rPr>
          <w:rFonts w:hint="eastAsia"/>
        </w:rPr>
        <w:t>集中热水供应系统通过技术经济比较后，热源宜选用稳定、可靠的余热、废热、地热。</w:t>
      </w:r>
    </w:p>
    <w:p w14:paraId="3D01DB63">
      <w:pPr>
        <w:pStyle w:val="258"/>
        <w:rPr>
          <w:rFonts w:hint="eastAsia"/>
        </w:rPr>
      </w:pPr>
      <w:r>
        <w:rPr>
          <w:rFonts w:hint="eastAsia"/>
        </w:rPr>
        <w:t>2</w:t>
      </w:r>
      <w:r>
        <w:rPr>
          <w:rFonts w:hint="eastAsia"/>
          <w:lang w:val="en-US" w:eastAsia="zh-CN"/>
        </w:rPr>
        <w:t>.</w:t>
      </w:r>
      <w:r>
        <w:rPr>
          <w:rFonts w:hint="eastAsia"/>
        </w:rPr>
        <w:t>生活热水热源应</w:t>
      </w:r>
      <w:r>
        <w:rPr>
          <w:rFonts w:hint="eastAsia"/>
          <w:lang w:val="en-US" w:eastAsia="zh-CN"/>
        </w:rPr>
        <w:t>采用</w:t>
      </w:r>
      <w:r>
        <w:rPr>
          <w:rFonts w:hint="eastAsia"/>
        </w:rPr>
        <w:t>太阳能</w:t>
      </w:r>
      <w:r>
        <w:rPr>
          <w:rFonts w:hint="eastAsia"/>
          <w:lang w:eastAsia="zh-CN"/>
        </w:rPr>
        <w:t>、</w:t>
      </w:r>
      <w:r>
        <w:rPr>
          <w:rFonts w:hint="eastAsia"/>
          <w:lang w:val="en-US" w:eastAsia="zh-CN"/>
        </w:rPr>
        <w:t>空气源热泵</w:t>
      </w:r>
      <w:r>
        <w:rPr>
          <w:rFonts w:hint="eastAsia"/>
        </w:rPr>
        <w:t>。</w:t>
      </w:r>
    </w:p>
    <w:p w14:paraId="2FFA6F9D">
      <w:pPr>
        <w:pStyle w:val="258"/>
        <w:rPr>
          <w:rFonts w:hint="eastAsia"/>
        </w:rPr>
      </w:pPr>
      <w:r>
        <w:rPr>
          <w:rFonts w:hint="eastAsia"/>
        </w:rPr>
        <w:t>3</w:t>
      </w:r>
      <w:r>
        <w:rPr>
          <w:rFonts w:hint="eastAsia"/>
          <w:lang w:val="en-US" w:eastAsia="zh-CN"/>
        </w:rPr>
        <w:t>.</w:t>
      </w:r>
      <w:r>
        <w:rPr>
          <w:rFonts w:hint="eastAsia"/>
        </w:rPr>
        <w:t>集中生活热水系统热源形式应满足现行国家规范《建筑节能与可再生能源利用通用规范》GB55015的要求。</w:t>
      </w:r>
    </w:p>
    <w:p w14:paraId="6BD7A65D">
      <w:pPr>
        <w:pStyle w:val="258"/>
        <w:ind w:left="0" w:leftChars="0" w:firstLine="0" w:firstLineChars="0"/>
        <w:rPr>
          <w:rFonts w:hint="default" w:eastAsia="宋体"/>
          <w:lang w:val="en-US" w:eastAsia="zh-CN"/>
        </w:rPr>
      </w:pPr>
      <w:r>
        <w:rPr>
          <w:rFonts w:hint="eastAsia" w:ascii="Times New Roman" w:hAnsi="Times New Roman" w:cs="Times New Roman"/>
          <w:color w:val="0000FF"/>
          <w:szCs w:val="21"/>
        </w:rPr>
        <w:t>【条文说明】</w:t>
      </w:r>
      <w:r>
        <w:rPr>
          <w:rFonts w:hint="eastAsia" w:ascii="Times New Roman" w:cs="Times New Roman"/>
          <w:color w:val="0000FF"/>
          <w:szCs w:val="21"/>
          <w:lang w:eastAsia="zh-CN"/>
        </w:rPr>
        <w:t>《</w:t>
      </w:r>
      <w:r>
        <w:rPr>
          <w:rFonts w:hint="eastAsia" w:ascii="Times New Roman" w:cs="Times New Roman"/>
          <w:color w:val="0000FF"/>
          <w:szCs w:val="21"/>
          <w:lang w:val="en-US" w:eastAsia="zh-CN"/>
        </w:rPr>
        <w:t>建筑给水排水设计标准</w:t>
      </w:r>
      <w:r>
        <w:rPr>
          <w:rFonts w:hint="eastAsia" w:ascii="Times New Roman" w:cs="Times New Roman"/>
          <w:color w:val="0000FF"/>
          <w:szCs w:val="21"/>
          <w:lang w:eastAsia="zh-CN"/>
        </w:rPr>
        <w:t>》</w:t>
      </w:r>
      <w:r>
        <w:rPr>
          <w:rFonts w:hint="eastAsia" w:ascii="Times New Roman" w:cs="Times New Roman"/>
          <w:color w:val="0000FF"/>
          <w:szCs w:val="21"/>
          <w:lang w:val="en-US" w:eastAsia="zh-CN"/>
        </w:rPr>
        <w:t>GB50015-2019中6.3.1条对集中生活热水系统的热源作了明确规定。</w:t>
      </w:r>
    </w:p>
    <w:p w14:paraId="13A79073">
      <w:pPr>
        <w:pStyle w:val="277"/>
        <w:numPr>
          <w:ilvl w:val="2"/>
          <w:numId w:val="40"/>
        </w:numPr>
        <w:spacing w:before="0" w:beforeLines="0" w:after="0" w:afterLines="0"/>
        <w:rPr>
          <w:rFonts w:hAnsi="黑体" w:eastAsia="宋体"/>
        </w:rPr>
      </w:pPr>
      <w:r>
        <w:rPr>
          <w:rFonts w:hint="eastAsia" w:hAnsi="黑体" w:eastAsia="宋体"/>
        </w:rPr>
        <w:t>当以燃气锅炉作为集中生活热水热源时，其锅炉额定工况下热效率应符合本规范表</w:t>
      </w:r>
      <w:r>
        <w:rPr>
          <w:rFonts w:hint="eastAsia" w:hAnsi="黑体" w:eastAsia="宋体"/>
          <w:lang w:val="en-US" w:eastAsia="zh-CN"/>
        </w:rPr>
        <w:t>5</w:t>
      </w:r>
      <w:r>
        <w:rPr>
          <w:rFonts w:hint="eastAsia" w:hAnsi="黑体" w:eastAsia="宋体"/>
        </w:rPr>
        <w:t>.3.2-1的规定。</w:t>
      </w:r>
    </w:p>
    <w:p w14:paraId="33D0B275">
      <w:pPr>
        <w:pStyle w:val="277"/>
        <w:numPr>
          <w:ilvl w:val="2"/>
          <w:numId w:val="40"/>
        </w:numPr>
        <w:spacing w:before="0" w:beforeLines="0" w:after="0" w:afterLines="0"/>
        <w:rPr>
          <w:rFonts w:hint="eastAsia" w:hAnsi="黑体" w:eastAsia="宋体"/>
        </w:rPr>
      </w:pPr>
      <w:r>
        <w:rPr>
          <w:rFonts w:hint="eastAsia" w:hAnsi="黑体" w:eastAsia="宋体"/>
        </w:rPr>
        <w:t>当采用空气源热泵热水机组制备生活热水时，在名义工况和规定条件下，其COP值不应小于现行国家规范《建筑节能与可再生能源利用通用规范》GB55015的要求，并应有保证水质的有效措施。</w:t>
      </w:r>
    </w:p>
    <w:p w14:paraId="3367BE45">
      <w:pPr>
        <w:pStyle w:val="277"/>
        <w:numPr>
          <w:ilvl w:val="2"/>
          <w:numId w:val="40"/>
        </w:numPr>
        <w:spacing w:before="0" w:beforeLines="0" w:after="0" w:afterLines="0"/>
        <w:rPr>
          <w:rFonts w:hint="eastAsia" w:hAnsi="黑体" w:eastAsia="宋体"/>
        </w:rPr>
      </w:pPr>
      <w:r>
        <w:rPr>
          <w:rFonts w:hint="eastAsia" w:hAnsi="黑体" w:eastAsia="宋体"/>
        </w:rPr>
        <w:t>当采用户式燃气热水器或供暖炉为生活热水热源时，其设备能效应达到现行国家标准《家用燃气快速热水器和燃气采暖热水炉能效限定值及能效等级》GB 20665规定的1级能效。</w:t>
      </w:r>
    </w:p>
    <w:p w14:paraId="2C0F6512">
      <w:pPr>
        <w:pStyle w:val="277"/>
        <w:numPr>
          <w:ilvl w:val="2"/>
          <w:numId w:val="40"/>
        </w:numPr>
        <w:spacing w:before="0" w:beforeLines="0" w:after="0" w:afterLines="0"/>
        <w:rPr>
          <w:rFonts w:hint="eastAsia" w:hAnsi="黑体" w:eastAsia="宋体"/>
        </w:rPr>
      </w:pPr>
      <w:r>
        <w:rPr>
          <w:rFonts w:hint="eastAsia" w:hAnsi="黑体" w:eastAsia="宋体"/>
        </w:rPr>
        <w:t>太阳能热水系统设计效率不应低于现行国家标准《可再生能源建筑应用工程评价标准》GB/T 50801规定的2级。</w:t>
      </w:r>
    </w:p>
    <w:p w14:paraId="25198C47">
      <w:pPr>
        <w:pStyle w:val="258"/>
        <w:widowControl w:val="0"/>
        <w:overflowPunct w:val="0"/>
        <w:autoSpaceDE/>
        <w:autoSpaceDN/>
        <w:spacing w:before="62" w:beforeLines="20" w:after="78" w:afterLines="25"/>
        <w:ind w:firstLine="0" w:firstLineChars="0"/>
        <w:jc w:val="center"/>
        <w:rPr>
          <w:rFonts w:hAnsi="宋体" w:eastAsia="黑体"/>
        </w:rPr>
      </w:pPr>
      <w:r>
        <w:rPr>
          <w:rFonts w:ascii="黑体" w:hAnsi="黑体" w:eastAsia="黑体" w:cs="黑体"/>
          <w:sz w:val="18"/>
          <w:szCs w:val="18"/>
        </w:rPr>
        <w:t>表</w:t>
      </w:r>
      <w:r>
        <w:rPr>
          <w:rFonts w:hint="eastAsia" w:ascii="黑体" w:hAnsi="黑体" w:eastAsia="黑体" w:cs="黑体"/>
          <w:sz w:val="18"/>
          <w:szCs w:val="18"/>
          <w:lang w:val="en-US" w:eastAsia="zh-CN"/>
        </w:rPr>
        <w:t>5.4.12</w:t>
      </w:r>
      <w:r>
        <w:rPr>
          <w:rFonts w:ascii="黑体" w:hAnsi="黑体" w:eastAsia="黑体" w:cs="黑体"/>
          <w:sz w:val="18"/>
          <w:szCs w:val="18"/>
        </w:rPr>
        <w:t>　</w:t>
      </w:r>
      <w:r>
        <w:rPr>
          <w:rFonts w:hint="eastAsia" w:ascii="黑体" w:hAnsi="黑体" w:eastAsia="黑体" w:cs="黑体"/>
          <w:sz w:val="18"/>
          <w:szCs w:val="18"/>
        </w:rPr>
        <w:t>太阳能热水系统集热效率</w:t>
      </w:r>
    </w:p>
    <w:tbl>
      <w:tblPr>
        <w:tblStyle w:val="89"/>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2"/>
        <w:gridCol w:w="4152"/>
      </w:tblGrid>
      <w:tr w14:paraId="2962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2" w:type="dxa"/>
            <w:vAlign w:val="center"/>
          </w:tcPr>
          <w:p w14:paraId="620D7EE5">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类型</w:t>
            </w:r>
          </w:p>
        </w:tc>
        <w:tc>
          <w:tcPr>
            <w:tcW w:w="4152" w:type="dxa"/>
            <w:vAlign w:val="center"/>
          </w:tcPr>
          <w:p w14:paraId="41B91294">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集热效率η</w:t>
            </w:r>
          </w:p>
        </w:tc>
      </w:tr>
      <w:tr w14:paraId="7117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02" w:type="dxa"/>
            <w:vAlign w:val="center"/>
          </w:tcPr>
          <w:p w14:paraId="0AC70F87">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太阳能热水系统</w:t>
            </w:r>
          </w:p>
        </w:tc>
        <w:tc>
          <w:tcPr>
            <w:tcW w:w="4152" w:type="dxa"/>
            <w:vAlign w:val="center"/>
          </w:tcPr>
          <w:p w14:paraId="4836D933">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w:t>
            </w:r>
            <w:r>
              <w:rPr>
                <w:rFonts w:ascii="Times New Roman" w:hAnsi="Times New Roman" w:cs="Times New Roman"/>
                <w:sz w:val="18"/>
                <w:szCs w:val="18"/>
              </w:rPr>
              <w:t>50%</w:t>
            </w:r>
          </w:p>
        </w:tc>
      </w:tr>
    </w:tbl>
    <w:p w14:paraId="7818AB68">
      <w:pPr>
        <w:tabs>
          <w:tab w:val="left" w:pos="397"/>
        </w:tabs>
        <w:overflowPunct w:val="0"/>
      </w:pPr>
      <w:r>
        <w:rPr>
          <w:rFonts w:hint="eastAsia" w:ascii="Times New Roman" w:hAnsi="Times New Roman" w:cs="Times New Roman"/>
          <w:color w:val="0000FF"/>
          <w:szCs w:val="21"/>
        </w:rPr>
        <w:t>【条文说明】本条的主要目的是对太阳能热水系统能效提出更高要求，以充分利用可再生能源，降低常规能源消耗，促进超低能耗目标实现。集热系统效率是衡量太阳能集热系统将太阳能转化为热能的重要指标，受集热器产品热性能、蓄热容积和系统控制措施等诸多因素影响。如果没有做到优化设计，就会导致不能充分发挥集热器的性能，造成系统效率过低，从而既浪费宝贵的安装空间，又制约系统的预期效益。</w:t>
      </w:r>
    </w:p>
    <w:p w14:paraId="5C607763">
      <w:pPr>
        <w:pStyle w:val="277"/>
        <w:numPr>
          <w:ilvl w:val="2"/>
          <w:numId w:val="40"/>
        </w:numPr>
        <w:spacing w:before="0" w:beforeLines="0" w:after="0" w:afterLines="0"/>
        <w:rPr>
          <w:rFonts w:hint="eastAsia" w:hAnsi="黑体" w:eastAsia="宋体"/>
        </w:rPr>
      </w:pPr>
      <w:r>
        <w:rPr>
          <w:rFonts w:hint="eastAsia" w:hAnsi="黑体" w:eastAsia="宋体"/>
        </w:rPr>
        <w:t>太阳能热利用系统应设置监测系统，监测和计量系统的辅助热源供热量、集热系统进出口水温、集热系统循环水流量、太阳总辐照量，太阳能热水系统的供热水温度、供热水量，太阳能供暖空调系统的供热量及供冷量、室外温度、代表性房间室内温度。</w:t>
      </w:r>
    </w:p>
    <w:p w14:paraId="0A6D615C">
      <w:pPr>
        <w:pStyle w:val="258"/>
        <w:numPr>
          <w:ilvl w:val="1"/>
          <w:numId w:val="37"/>
        </w:numPr>
        <w:spacing w:before="156" w:beforeLines="50" w:after="156" w:afterLines="50"/>
        <w:ind w:firstLineChars="0"/>
        <w:outlineLvl w:val="1"/>
        <w:rPr>
          <w:rFonts w:ascii="黑体" w:hAnsi="黑体" w:eastAsia="黑体"/>
        </w:rPr>
      </w:pPr>
      <w:bookmarkStart w:id="34" w:name="_Toc17817"/>
      <w:r>
        <w:rPr>
          <w:rFonts w:hint="eastAsia" w:ascii="黑体" w:hAnsi="黑体" w:eastAsia="黑体"/>
        </w:rPr>
        <w:t>电气</w:t>
      </w:r>
      <w:r>
        <w:rPr>
          <w:rFonts w:ascii="黑体" w:hAnsi="黑体" w:eastAsia="黑体"/>
        </w:rPr>
        <w:t>设计</w:t>
      </w:r>
      <w:bookmarkEnd w:id="34"/>
    </w:p>
    <w:p w14:paraId="45D9063D">
      <w:pPr>
        <w:pStyle w:val="277"/>
        <w:numPr>
          <w:ilvl w:val="2"/>
          <w:numId w:val="41"/>
        </w:numPr>
        <w:spacing w:before="0" w:beforeLines="0" w:after="0" w:afterLines="0"/>
        <w:rPr>
          <w:rFonts w:ascii="Times New Roman" w:eastAsia="宋体"/>
          <w:bCs/>
        </w:rPr>
      </w:pPr>
      <w:r>
        <w:rPr>
          <w:rFonts w:hint="eastAsia" w:ascii="Times New Roman" w:eastAsia="宋体"/>
          <w:bCs/>
        </w:rPr>
        <w:t>变配电所位置应靠近负荷中心或大功率用电设备。</w:t>
      </w:r>
    </w:p>
    <w:p w14:paraId="7BF839BB">
      <w:pPr>
        <w:tabs>
          <w:tab w:val="left" w:pos="397"/>
        </w:tabs>
        <w:overflowPunct w:val="0"/>
      </w:pPr>
      <w:r>
        <w:rPr>
          <w:rFonts w:hint="eastAsia" w:ascii="Times New Roman" w:hAnsi="Times New Roman" w:cs="Times New Roman"/>
          <w:color w:val="0000FF"/>
          <w:szCs w:val="21"/>
        </w:rPr>
        <w:t>【条文说明】不但配变电所要靠近负荷中心，各级配电都要尽量减少供电线路的距离。提倡配变电所位于负荷中心是电气设计专业的要求，但建筑设计需要整体考虑，配变电所设置位置也是电气设计与建筑设计协商的结果，本条主要是考虑线缆的电压降不满足规范要求时，需加大线缆截面，浪费材料资源，同时，供电距离越长，线损越大，越不节能。变电所到末端用电点的距离不超过250m为宜。在公共建筑中大功率用电设备，主要指电制冷的冷水机组。</w:t>
      </w:r>
    </w:p>
    <w:p w14:paraId="5AC4BA89">
      <w:pPr>
        <w:pStyle w:val="277"/>
        <w:numPr>
          <w:ilvl w:val="2"/>
          <w:numId w:val="41"/>
        </w:numPr>
        <w:spacing w:before="0" w:beforeLines="0" w:after="0" w:afterLines="0"/>
        <w:rPr>
          <w:rFonts w:ascii="Times New Roman" w:eastAsia="宋体"/>
          <w:bCs/>
        </w:rPr>
      </w:pPr>
      <w:r>
        <w:rPr>
          <w:rFonts w:hint="eastAsia" w:ascii="Times New Roman" w:eastAsia="宋体"/>
          <w:bCs/>
        </w:rPr>
        <w:t>应采用新型高能效配电变压器。油浸式和干式变压器空载损耗值和负载损耗值均应分别满足国家标准《电力变压器能效限定值及能效等级》GB20052一级能效标准。</w:t>
      </w:r>
    </w:p>
    <w:p w14:paraId="5D93F045">
      <w:pPr>
        <w:pStyle w:val="277"/>
        <w:numPr>
          <w:ilvl w:val="2"/>
          <w:numId w:val="41"/>
        </w:numPr>
        <w:spacing w:before="0" w:beforeLines="0" w:after="0" w:afterLines="0"/>
        <w:rPr>
          <w:rFonts w:ascii="Times New Roman" w:eastAsia="宋体"/>
          <w:bCs/>
        </w:rPr>
      </w:pPr>
      <w:r>
        <w:rPr>
          <w:rFonts w:hint="eastAsia" w:ascii="Times New Roman" w:eastAsia="宋体"/>
          <w:bCs/>
        </w:rPr>
        <w:t>室内照明功率密度值应达到现行国家标准《照明设计标准》GB/T50034规定的目标值。</w:t>
      </w:r>
    </w:p>
    <w:p w14:paraId="341D302D">
      <w:pPr>
        <w:tabs>
          <w:tab w:val="left" w:pos="397"/>
        </w:tabs>
        <w:overflowPunct w:val="0"/>
        <w:rPr>
          <w:rStyle w:val="698"/>
          <w:rFonts w:ascii="宋体" w:hAnsi="宋体" w:eastAsia="宋体"/>
          <w:color w:val="auto"/>
        </w:rPr>
      </w:pPr>
      <w:r>
        <w:rPr>
          <w:rFonts w:hint="eastAsia" w:ascii="Times New Roman" w:hAnsi="Times New Roman" w:cs="Times New Roman"/>
          <w:color w:val="0000FF"/>
          <w:szCs w:val="21"/>
        </w:rPr>
        <w:t>【条文说明】照明功率密度是指单位面积上一般照明的额定功率（包括光源、镇流器或变压器等附属用电器件），是照明节能的重要评价指标，随着近年来高效节能照明光源的发展，本标准对超低能耗建筑的室内照明功率密度提出了更高的要求。此外，在降低照明能耗的同时，应保障视觉健康，照度、照度均匀度等设计应满足现行国家标准的要求。</w:t>
      </w:r>
    </w:p>
    <w:p w14:paraId="014A999B">
      <w:pPr>
        <w:pStyle w:val="277"/>
        <w:numPr>
          <w:ilvl w:val="2"/>
          <w:numId w:val="41"/>
        </w:numPr>
        <w:spacing w:before="0" w:beforeLines="0" w:after="0" w:afterLines="0"/>
        <w:rPr>
          <w:rFonts w:ascii="Times New Roman" w:eastAsia="宋体"/>
          <w:bCs/>
        </w:rPr>
      </w:pPr>
      <w:r>
        <w:rPr>
          <w:rFonts w:hint="eastAsia" w:ascii="Times New Roman" w:eastAsia="宋体"/>
          <w:bCs/>
        </w:rPr>
        <w:t>选用的光源、镇流器的能效不应低于相应能效标准的节能评价值要求；除特殊要求外，照明光源应优先选用发光二极管（LED）灯，照明灯具功率因数应不低于0.9。</w:t>
      </w:r>
    </w:p>
    <w:p w14:paraId="046D7E79">
      <w:pPr>
        <w:tabs>
          <w:tab w:val="left" w:pos="397"/>
        </w:tabs>
        <w:overflowPunct w:val="0"/>
      </w:pPr>
      <w:r>
        <w:rPr>
          <w:rFonts w:hint="eastAsia" w:ascii="Times New Roman" w:hAnsi="Times New Roman" w:cs="Times New Roman"/>
          <w:color w:val="0000FF"/>
          <w:szCs w:val="21"/>
        </w:rPr>
        <w:t>【条文说明】LED照明光源近年来发展迅速，是发光效率最高的照明光源之一，已在绿色建筑、超低能耗建筑中得到广泛应用。在已有照明节能成效的基础上，应进一步推广使用光效更高、寿命更长的LED照明产品，在保障视觉健康和照明质量的前提下实现照明节能。</w:t>
      </w:r>
    </w:p>
    <w:p w14:paraId="487FECCF">
      <w:pPr>
        <w:pStyle w:val="277"/>
        <w:numPr>
          <w:ilvl w:val="2"/>
          <w:numId w:val="41"/>
        </w:numPr>
        <w:spacing w:before="0" w:beforeLines="0" w:after="0" w:afterLines="0"/>
        <w:rPr>
          <w:rFonts w:ascii="Times New Roman" w:eastAsia="宋体"/>
          <w:bCs/>
        </w:rPr>
      </w:pPr>
      <w:r>
        <w:rPr>
          <w:rFonts w:hint="eastAsia" w:ascii="Times New Roman" w:eastAsia="宋体"/>
          <w:bCs/>
        </w:rPr>
        <w:t>对地下车库、建筑顶层、建筑内区等需要日间照明的空间，宜采用自然光导光系统或采取其他创新设计方法利用自然采光，以满足部分或全部的日间照明需求。</w:t>
      </w:r>
    </w:p>
    <w:p w14:paraId="0FCA7CF0">
      <w:pPr>
        <w:pStyle w:val="277"/>
        <w:numPr>
          <w:ilvl w:val="2"/>
          <w:numId w:val="41"/>
        </w:numPr>
        <w:spacing w:before="0" w:beforeLines="0" w:after="0" w:afterLines="0"/>
        <w:rPr>
          <w:rFonts w:ascii="Times New Roman" w:eastAsia="宋体"/>
          <w:bCs/>
        </w:rPr>
      </w:pPr>
      <w:r>
        <w:rPr>
          <w:rFonts w:hint="eastAsia" w:ascii="Times New Roman" w:eastAsia="宋体"/>
          <w:bCs/>
        </w:rPr>
        <w:t>照明控制应符合下列规定：</w:t>
      </w:r>
    </w:p>
    <w:p w14:paraId="403D7658">
      <w:pPr>
        <w:pStyle w:val="258"/>
        <w:ind w:firstLine="420"/>
      </w:pPr>
      <w:r>
        <w:rPr>
          <w:rFonts w:hint="eastAsia"/>
        </w:rPr>
        <w:t>1.公共区域的照明系统应采用分区、定时、感应等节能控制。</w:t>
      </w:r>
    </w:p>
    <w:p w14:paraId="58B9D12A">
      <w:pPr>
        <w:pStyle w:val="258"/>
        <w:ind w:firstLine="420"/>
      </w:pPr>
      <w:r>
        <w:rPr>
          <w:rFonts w:hint="eastAsia"/>
        </w:rPr>
        <w:t>2.大空间、多功能、多场景场所的照明，宜采用智能照明控制系统。</w:t>
      </w:r>
    </w:p>
    <w:p w14:paraId="1B151F5C">
      <w:pPr>
        <w:pStyle w:val="258"/>
        <w:ind w:firstLine="420"/>
      </w:pPr>
      <w:r>
        <w:rPr>
          <w:rFonts w:hint="eastAsia"/>
        </w:rPr>
        <w:t>3.当设置电动遮阳装置时，照度控制宜与其联动。</w:t>
      </w:r>
    </w:p>
    <w:p w14:paraId="78B69DEC">
      <w:pPr>
        <w:pStyle w:val="258"/>
        <w:ind w:firstLine="420"/>
      </w:pPr>
      <w:r>
        <w:rPr>
          <w:rFonts w:hint="eastAsia"/>
        </w:rPr>
        <w:t>4.当采用自然光导光装置时，宜具备照度调节功能。</w:t>
      </w:r>
    </w:p>
    <w:p w14:paraId="3002B2FF">
      <w:pPr>
        <w:pStyle w:val="258"/>
        <w:ind w:firstLine="420"/>
      </w:pPr>
      <w:r>
        <w:rPr>
          <w:rFonts w:hint="eastAsia"/>
        </w:rPr>
        <w:t>5.对于人员长期停留空间，应设置有就地控制装置，以满足使用者的个性习惯与个体差异性要求。</w:t>
      </w:r>
    </w:p>
    <w:p w14:paraId="79BE7BA5">
      <w:pPr>
        <w:pStyle w:val="258"/>
        <w:ind w:firstLine="420"/>
        <w:rPr>
          <w:rFonts w:hint="eastAsia"/>
        </w:rPr>
      </w:pPr>
      <w:r>
        <w:rPr>
          <w:rFonts w:hint="eastAsia"/>
        </w:rPr>
        <w:t>6.采光区域照明控制应独立于其他区域的照明控制。</w:t>
      </w:r>
    </w:p>
    <w:p w14:paraId="72A9A046">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智能照明控制系统的应用，不仅便于集中管理、减少人为浪费，而且可以通过自动调光充分利用自然采光，进一步降低照明能耗。在具有自然采光的区域，照明设计及照明控制应与之结合，根据采光状况和建筑使用条件，对人工照明进行分区、分组控制</w:t>
      </w:r>
      <w:r>
        <w:rPr>
          <w:rFonts w:hint="eastAsia" w:ascii="宋体" w:hAnsi="宋体" w:eastAsia="宋体" w:cs="宋体"/>
          <w:color w:val="0000FF"/>
          <w:szCs w:val="21"/>
        </w:rPr>
        <w:t>（</w:t>
      </w:r>
      <w:r>
        <w:rPr>
          <w:rFonts w:hint="eastAsia" w:ascii="Times New Roman" w:hAnsi="Times New Roman" w:cs="Times New Roman"/>
          <w:color w:val="0000FF"/>
          <w:szCs w:val="21"/>
        </w:rPr>
        <w:t>如办公室、教室、会议室等</w:t>
      </w:r>
      <w:r>
        <w:rPr>
          <w:rFonts w:hint="eastAsia" w:ascii="宋体" w:hAnsi="宋体" w:eastAsia="宋体" w:cs="宋体"/>
          <w:color w:val="0000FF"/>
          <w:szCs w:val="21"/>
        </w:rPr>
        <w:t>）</w:t>
      </w:r>
      <w:r>
        <w:rPr>
          <w:rFonts w:hint="eastAsia" w:ascii="Times New Roman" w:hAnsi="Times New Roman" w:cs="Times New Roman"/>
          <w:color w:val="0000FF"/>
          <w:szCs w:val="21"/>
        </w:rPr>
        <w:t>，其目的就是在充分利用天然光的同时，也不影响此区域正常使用。走廊、楼梯间、门厅、电梯厅、停车库等场所，无人主动关注照明的开、关，可采用就地感应控制，包括红外、雷达、声波等探测器的自动控制装置，通过自动开关或调光实现节能控制。大型公共建筑的公用照明区域，根据建筑空间形式和空间功能进行分区分组，当空间无人时，通过降低照度，以实现节能。但值得注意的是，对于医院病房楼、中小学校及其宿舍、幼儿园（未成年人使用场所）、老年公寓、旅馆等场所，因病人、儿童、老年人等人员在灯光明暗转换期间易发生踏空等安全事故，因此不宜采用就地感应控制。此外，也可采用集中控制或智能控制系统，促进场所安全及节能。</w:t>
      </w:r>
    </w:p>
    <w:p w14:paraId="66319D61">
      <w:pPr>
        <w:pStyle w:val="277"/>
        <w:numPr>
          <w:ilvl w:val="2"/>
          <w:numId w:val="41"/>
        </w:numPr>
        <w:spacing w:before="0" w:beforeLines="0" w:after="0" w:afterLines="0"/>
        <w:rPr>
          <w:rFonts w:ascii="Times New Roman" w:eastAsia="宋体"/>
          <w:bCs/>
        </w:rPr>
      </w:pPr>
      <w:r>
        <w:rPr>
          <w:rFonts w:hint="eastAsia" w:ascii="Times New Roman" w:eastAsia="宋体"/>
          <w:bCs/>
        </w:rPr>
        <w:t>应选用节能型电梯及自动扶梯，如变频调速驱动或带能量反馈的电梯、变频感应启动扶梯，并采用电梯并联或群控等节能控制措施。</w:t>
      </w:r>
    </w:p>
    <w:p w14:paraId="4878045F">
      <w:pPr>
        <w:tabs>
          <w:tab w:val="left" w:pos="397"/>
        </w:tabs>
        <w:overflowPunct w:val="0"/>
      </w:pPr>
      <w:r>
        <w:rPr>
          <w:rFonts w:hint="eastAsia" w:ascii="Times New Roman" w:hAnsi="Times New Roman" w:cs="Times New Roman"/>
          <w:color w:val="0000FF"/>
          <w:szCs w:val="21"/>
        </w:rPr>
        <w:t>【条文说明】建筑中电梯是重要的用能设备，选择电梯时宜合理确定电梯的载重、运行速度、台数等配置方案和信号控制等管理方案，提高运行效率。当两台及以上电梯集中设置时，应具备群控功能，优化减少轿厢行程。当电梯无外部召唤时，且电梯轿厢内一段时间无预设指令时，应自动关闭轿厢照明及风扇，降低轿厢待机能耗。采用变频调速拖动以及能量回馈装置，可进一步降低电梯能耗。当没有带能量回馈装置的电梯运行在发电状态时，产生的能量一般通过电阻以发热的形式消耗。能量回馈装置将电梯在发电运行阶段产生的电量储存起来，供电梯照明、通风等配套负载使用，从而降低电梯拖动系统能耗。从经济效益上考虑，推荐在楼层较高、梯速较高、电梯使用频次高的建筑中使用具有能量回馈功能的电梯。</w:t>
      </w:r>
    </w:p>
    <w:p w14:paraId="0CAB77E0">
      <w:pPr>
        <w:pStyle w:val="277"/>
        <w:numPr>
          <w:ilvl w:val="2"/>
          <w:numId w:val="41"/>
        </w:numPr>
        <w:spacing w:before="0" w:beforeLines="0" w:after="0" w:afterLines="0"/>
        <w:rPr>
          <w:rFonts w:ascii="Times New Roman" w:eastAsia="宋体"/>
          <w:bCs/>
        </w:rPr>
      </w:pPr>
      <w:r>
        <w:rPr>
          <w:rFonts w:hint="eastAsia" w:ascii="Times New Roman" w:eastAsia="宋体"/>
          <w:bCs/>
        </w:rPr>
        <w:t>公共建筑应设置太阳能光伏发电系统，并符合下列要求：</w:t>
      </w:r>
    </w:p>
    <w:p w14:paraId="69D409F2">
      <w:pPr>
        <w:pStyle w:val="258"/>
        <w:rPr>
          <w:rFonts w:hint="eastAsia"/>
        </w:rPr>
      </w:pPr>
      <w:r>
        <w:rPr>
          <w:rFonts w:hint="eastAsia"/>
        </w:rPr>
        <w:t>1　应与建筑一体化设计，满足现行国家标准《建筑光伏系统应用技术标准》GB/T 51368、《光伏建筑一体化系统防雷技术规范》GB/T 36963相关要求；</w:t>
      </w:r>
    </w:p>
    <w:p w14:paraId="2250BC23">
      <w:pPr>
        <w:pStyle w:val="258"/>
        <w:rPr>
          <w:rFonts w:hint="eastAsia"/>
        </w:rPr>
      </w:pPr>
      <w:r>
        <w:rPr>
          <w:rFonts w:hint="eastAsia"/>
        </w:rPr>
        <w:t>2　光伏发电系统应优先自发自用，宜并网运行；</w:t>
      </w:r>
    </w:p>
    <w:p w14:paraId="770FAD81">
      <w:pPr>
        <w:pStyle w:val="258"/>
        <w:rPr>
          <w:rFonts w:hint="eastAsia"/>
        </w:rPr>
      </w:pPr>
      <w:r>
        <w:rPr>
          <w:rFonts w:hint="eastAsia"/>
        </w:rPr>
        <w:t>3　安装光伏面积占屋顶可利用面积的比例不应低于50%；</w:t>
      </w:r>
    </w:p>
    <w:p w14:paraId="1A2BC7F2">
      <w:pPr>
        <w:pStyle w:val="258"/>
        <w:rPr>
          <w:rFonts w:hint="eastAsia"/>
        </w:rPr>
      </w:pPr>
      <w:r>
        <w:rPr>
          <w:rFonts w:hint="eastAsia"/>
        </w:rPr>
        <w:t>4　光伏组件初始发电效率应满足表</w:t>
      </w:r>
      <w:r>
        <w:rPr>
          <w:rFonts w:hint="eastAsia"/>
          <w:lang w:val="en-US" w:eastAsia="zh-CN"/>
        </w:rPr>
        <w:t>5.5.8</w:t>
      </w:r>
      <w:r>
        <w:rPr>
          <w:rFonts w:hint="eastAsia"/>
        </w:rPr>
        <w:t>要求：</w:t>
      </w:r>
    </w:p>
    <w:p w14:paraId="3F863553">
      <w:pPr>
        <w:pStyle w:val="258"/>
        <w:widowControl w:val="0"/>
        <w:overflowPunct w:val="0"/>
        <w:autoSpaceDE/>
        <w:autoSpaceDN/>
        <w:spacing w:before="62" w:beforeLines="20" w:after="78" w:afterLines="25"/>
        <w:ind w:firstLine="0" w:firstLineChars="0"/>
        <w:jc w:val="center"/>
        <w:rPr>
          <w:rFonts w:hAnsi="宋体" w:eastAsia="黑体"/>
        </w:rPr>
      </w:pPr>
      <w:r>
        <w:rPr>
          <w:rFonts w:ascii="黑体" w:hAnsi="黑体" w:eastAsia="黑体" w:cs="黑体"/>
          <w:sz w:val="18"/>
          <w:szCs w:val="18"/>
        </w:rPr>
        <w:t>表</w:t>
      </w:r>
      <w:r>
        <w:rPr>
          <w:rFonts w:hint="eastAsia" w:ascii="黑体" w:hAnsi="黑体" w:eastAsia="黑体" w:cs="黑体"/>
          <w:sz w:val="18"/>
          <w:szCs w:val="18"/>
          <w:lang w:val="en-US" w:eastAsia="zh-CN"/>
        </w:rPr>
        <w:t>5.5.8</w:t>
      </w:r>
      <w:r>
        <w:rPr>
          <w:rFonts w:ascii="黑体" w:hAnsi="黑体" w:eastAsia="黑体" w:cs="黑体"/>
          <w:sz w:val="18"/>
          <w:szCs w:val="18"/>
        </w:rPr>
        <w:t>　</w:t>
      </w:r>
      <w:r>
        <w:rPr>
          <w:rFonts w:hint="eastAsia" w:ascii="黑体" w:hAnsi="黑体" w:eastAsia="黑体" w:cs="黑体"/>
          <w:sz w:val="18"/>
          <w:szCs w:val="18"/>
        </w:rPr>
        <w:t>光伏组件平均光电转换效率</w:t>
      </w:r>
    </w:p>
    <w:tbl>
      <w:tblPr>
        <w:tblStyle w:val="8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1788"/>
        <w:gridCol w:w="1789"/>
        <w:gridCol w:w="4152"/>
      </w:tblGrid>
      <w:tr w14:paraId="0B63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02" w:type="dxa"/>
            <w:gridSpan w:val="3"/>
            <w:vAlign w:val="center"/>
          </w:tcPr>
          <w:p w14:paraId="796C5CC6">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类型</w:t>
            </w:r>
          </w:p>
        </w:tc>
        <w:tc>
          <w:tcPr>
            <w:tcW w:w="4152" w:type="dxa"/>
            <w:vAlign w:val="center"/>
          </w:tcPr>
          <w:p w14:paraId="66E6BEED">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平均光电转换效率</w:t>
            </w:r>
          </w:p>
        </w:tc>
      </w:tr>
      <w:tr w14:paraId="4593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restart"/>
            <w:vAlign w:val="center"/>
          </w:tcPr>
          <w:p w14:paraId="5450F540">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晶硅组件</w:t>
            </w:r>
          </w:p>
        </w:tc>
        <w:tc>
          <w:tcPr>
            <w:tcW w:w="3577" w:type="dxa"/>
            <w:gridSpan w:val="2"/>
            <w:vAlign w:val="center"/>
          </w:tcPr>
          <w:p w14:paraId="0CCAA743">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多晶硅</w:t>
            </w:r>
          </w:p>
        </w:tc>
        <w:tc>
          <w:tcPr>
            <w:tcW w:w="4152" w:type="dxa"/>
            <w:vAlign w:val="center"/>
          </w:tcPr>
          <w:p w14:paraId="6394F4EE">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w:t>
            </w:r>
            <w:r>
              <w:rPr>
                <w:rFonts w:ascii="Times New Roman" w:hAnsi="Times New Roman" w:cs="Times New Roman"/>
                <w:sz w:val="18"/>
                <w:szCs w:val="18"/>
              </w:rPr>
              <w:t>1</w:t>
            </w:r>
            <w:r>
              <w:rPr>
                <w:rFonts w:hint="eastAsia" w:cs="Times New Roman"/>
                <w:sz w:val="18"/>
                <w:szCs w:val="18"/>
                <w:lang w:val="en-US" w:eastAsia="zh-CN"/>
              </w:rPr>
              <w:t>9</w:t>
            </w:r>
            <w:r>
              <w:rPr>
                <w:rFonts w:ascii="Times New Roman" w:hAnsi="Times New Roman" w:cs="Times New Roman"/>
                <w:sz w:val="18"/>
                <w:szCs w:val="18"/>
              </w:rPr>
              <w:t>.4%</w:t>
            </w:r>
          </w:p>
        </w:tc>
      </w:tr>
      <w:tr w14:paraId="3A5C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0325345A">
            <w:pPr>
              <w:pStyle w:val="362"/>
              <w:tabs>
                <w:tab w:val="left" w:pos="420"/>
              </w:tabs>
              <w:overflowPunct w:val="0"/>
              <w:ind w:firstLine="0" w:firstLineChars="0"/>
              <w:jc w:val="center"/>
              <w:rPr>
                <w:rFonts w:ascii="宋体" w:hAnsi="宋体" w:cs="宋体"/>
                <w:sz w:val="18"/>
                <w:szCs w:val="18"/>
              </w:rPr>
            </w:pPr>
          </w:p>
        </w:tc>
        <w:tc>
          <w:tcPr>
            <w:tcW w:w="1788" w:type="dxa"/>
            <w:vMerge w:val="restart"/>
            <w:vAlign w:val="center"/>
          </w:tcPr>
          <w:p w14:paraId="1F2D371A">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单晶硅</w:t>
            </w:r>
          </w:p>
        </w:tc>
        <w:tc>
          <w:tcPr>
            <w:tcW w:w="1789" w:type="dxa"/>
            <w:vAlign w:val="center"/>
          </w:tcPr>
          <w:p w14:paraId="09FA9B9F">
            <w:pPr>
              <w:pStyle w:val="362"/>
              <w:tabs>
                <w:tab w:val="left" w:pos="420"/>
              </w:tabs>
              <w:overflowPunct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P型</w:t>
            </w:r>
          </w:p>
        </w:tc>
        <w:tc>
          <w:tcPr>
            <w:tcW w:w="4152" w:type="dxa"/>
            <w:shd w:val="clear" w:color="auto" w:fill="auto"/>
            <w:vAlign w:val="center"/>
          </w:tcPr>
          <w:p w14:paraId="7541F6F6">
            <w:pPr>
              <w:overflowPunct w:val="0"/>
              <w:jc w:val="center"/>
              <w:rPr>
                <w:rFonts w:hint="eastAsia" w:ascii="宋体" w:hAnsi="宋体" w:eastAsia="宋体" w:cs="宋体"/>
                <w:kern w:val="2"/>
                <w:sz w:val="18"/>
                <w:szCs w:val="18"/>
                <w:lang w:val="en-US" w:eastAsia="zh-CN" w:bidi="ar-SA"/>
              </w:rPr>
            </w:pPr>
            <w:r>
              <w:rPr>
                <w:rFonts w:hint="eastAsia" w:ascii="宋体" w:hAnsi="宋体" w:cs="宋体"/>
                <w:sz w:val="18"/>
                <w:szCs w:val="18"/>
              </w:rPr>
              <w:t>≥</w:t>
            </w:r>
            <w:r>
              <w:rPr>
                <w:rFonts w:ascii="Times New Roman" w:hAnsi="Times New Roman" w:cs="Times New Roman"/>
                <w:sz w:val="18"/>
                <w:szCs w:val="18"/>
              </w:rPr>
              <w:t>2</w:t>
            </w:r>
            <w:r>
              <w:rPr>
                <w:rFonts w:hint="eastAsia" w:cs="Times New Roman"/>
                <w:sz w:val="18"/>
                <w:szCs w:val="18"/>
                <w:lang w:val="en-US" w:eastAsia="zh-CN"/>
              </w:rPr>
              <w:t>1.2</w:t>
            </w:r>
            <w:r>
              <w:rPr>
                <w:rFonts w:ascii="Times New Roman" w:hAnsi="Times New Roman" w:cs="Times New Roman"/>
                <w:sz w:val="18"/>
                <w:szCs w:val="18"/>
              </w:rPr>
              <w:t>%</w:t>
            </w:r>
          </w:p>
        </w:tc>
      </w:tr>
      <w:tr w14:paraId="4369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2DB0AF88">
            <w:pPr>
              <w:pStyle w:val="362"/>
              <w:tabs>
                <w:tab w:val="left" w:pos="420"/>
              </w:tabs>
              <w:overflowPunct w:val="0"/>
              <w:ind w:firstLine="0" w:firstLineChars="0"/>
              <w:jc w:val="center"/>
              <w:rPr>
                <w:rFonts w:ascii="宋体" w:hAnsi="宋体" w:cs="宋体"/>
                <w:sz w:val="18"/>
                <w:szCs w:val="18"/>
              </w:rPr>
            </w:pPr>
          </w:p>
        </w:tc>
        <w:tc>
          <w:tcPr>
            <w:tcW w:w="1788" w:type="dxa"/>
            <w:vMerge w:val="continue"/>
            <w:vAlign w:val="center"/>
          </w:tcPr>
          <w:p w14:paraId="564ADFB6">
            <w:pPr>
              <w:pStyle w:val="362"/>
              <w:tabs>
                <w:tab w:val="left" w:pos="420"/>
              </w:tabs>
              <w:overflowPunct w:val="0"/>
              <w:ind w:firstLine="0" w:firstLineChars="0"/>
              <w:jc w:val="center"/>
              <w:rPr>
                <w:rFonts w:ascii="宋体" w:hAnsi="宋体" w:cs="宋体"/>
                <w:sz w:val="18"/>
                <w:szCs w:val="18"/>
              </w:rPr>
            </w:pPr>
          </w:p>
        </w:tc>
        <w:tc>
          <w:tcPr>
            <w:tcW w:w="1789" w:type="dxa"/>
            <w:vAlign w:val="center"/>
          </w:tcPr>
          <w:p w14:paraId="08754CF9">
            <w:pPr>
              <w:pStyle w:val="362"/>
              <w:tabs>
                <w:tab w:val="left" w:pos="420"/>
              </w:tabs>
              <w:overflowPunct w:val="0"/>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N型</w:t>
            </w:r>
          </w:p>
        </w:tc>
        <w:tc>
          <w:tcPr>
            <w:tcW w:w="4152" w:type="dxa"/>
            <w:shd w:val="clear" w:color="auto" w:fill="auto"/>
            <w:vAlign w:val="center"/>
          </w:tcPr>
          <w:p w14:paraId="5E9954FF">
            <w:pPr>
              <w:overflowPunct w:val="0"/>
              <w:jc w:val="center"/>
              <w:rPr>
                <w:rFonts w:ascii="宋体" w:hAnsi="宋体" w:eastAsia="宋体" w:cs="宋体"/>
                <w:kern w:val="2"/>
                <w:sz w:val="18"/>
                <w:szCs w:val="18"/>
                <w:lang w:val="en-US" w:eastAsia="zh-CN" w:bidi="ar-SA"/>
              </w:rPr>
            </w:pPr>
            <w:r>
              <w:rPr>
                <w:rFonts w:hint="eastAsia" w:ascii="宋体" w:hAnsi="宋体" w:cs="宋体"/>
                <w:sz w:val="18"/>
                <w:szCs w:val="18"/>
              </w:rPr>
              <w:t>≥</w:t>
            </w:r>
            <w:r>
              <w:rPr>
                <w:rFonts w:hint="eastAsia" w:cs="Times New Roman"/>
                <w:sz w:val="18"/>
                <w:szCs w:val="18"/>
                <w:lang w:val="en-US" w:eastAsia="zh-CN"/>
              </w:rPr>
              <w:t>22.3</w:t>
            </w:r>
            <w:r>
              <w:rPr>
                <w:rFonts w:ascii="Times New Roman" w:hAnsi="Times New Roman" w:cs="Times New Roman"/>
                <w:sz w:val="18"/>
                <w:szCs w:val="18"/>
              </w:rPr>
              <w:t>%</w:t>
            </w:r>
          </w:p>
        </w:tc>
      </w:tr>
      <w:tr w14:paraId="5F07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restart"/>
            <w:vAlign w:val="center"/>
          </w:tcPr>
          <w:p w14:paraId="58BFA1CB">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薄膜组件</w:t>
            </w:r>
          </w:p>
        </w:tc>
        <w:tc>
          <w:tcPr>
            <w:tcW w:w="3577" w:type="dxa"/>
            <w:gridSpan w:val="2"/>
            <w:vAlign w:val="center"/>
          </w:tcPr>
          <w:p w14:paraId="0B7C61BF">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rPr>
              <w:t>硅基</w:t>
            </w:r>
          </w:p>
        </w:tc>
        <w:tc>
          <w:tcPr>
            <w:tcW w:w="4152" w:type="dxa"/>
            <w:vAlign w:val="center"/>
          </w:tcPr>
          <w:p w14:paraId="5CF532DC">
            <w:pPr>
              <w:overflowPunct w:val="0"/>
              <w:jc w:val="center"/>
              <w:rPr>
                <w:rFonts w:ascii="宋体" w:hAnsi="宋体" w:cs="宋体"/>
                <w:sz w:val="18"/>
                <w:szCs w:val="18"/>
              </w:rPr>
            </w:pPr>
            <w:r>
              <w:rPr>
                <w:rFonts w:hint="eastAsia" w:ascii="宋体" w:hAnsi="宋体" w:cs="宋体"/>
                <w:sz w:val="18"/>
                <w:szCs w:val="18"/>
              </w:rPr>
              <w:t>≥</w:t>
            </w:r>
            <w:r>
              <w:rPr>
                <w:rFonts w:hint="eastAsia" w:cs="Times New Roman"/>
                <w:sz w:val="18"/>
                <w:szCs w:val="18"/>
                <w:lang w:val="en-US" w:eastAsia="zh-CN"/>
              </w:rPr>
              <w:t>12</w:t>
            </w:r>
            <w:r>
              <w:rPr>
                <w:rFonts w:ascii="Times New Roman" w:hAnsi="Times New Roman" w:cs="Times New Roman"/>
                <w:sz w:val="18"/>
                <w:szCs w:val="18"/>
              </w:rPr>
              <w:t>%</w:t>
            </w:r>
          </w:p>
        </w:tc>
      </w:tr>
      <w:tr w14:paraId="52D8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512AAE1D">
            <w:pPr>
              <w:pStyle w:val="362"/>
              <w:tabs>
                <w:tab w:val="left" w:pos="420"/>
              </w:tabs>
              <w:overflowPunct w:val="0"/>
              <w:ind w:firstLine="0" w:firstLineChars="0"/>
              <w:jc w:val="center"/>
              <w:rPr>
                <w:rFonts w:ascii="宋体" w:hAnsi="宋体" w:cs="宋体"/>
                <w:sz w:val="18"/>
                <w:szCs w:val="18"/>
              </w:rPr>
            </w:pPr>
          </w:p>
        </w:tc>
        <w:tc>
          <w:tcPr>
            <w:tcW w:w="3577" w:type="dxa"/>
            <w:gridSpan w:val="2"/>
            <w:vAlign w:val="center"/>
          </w:tcPr>
          <w:p w14:paraId="5533D6B1">
            <w:pPr>
              <w:pStyle w:val="362"/>
              <w:tabs>
                <w:tab w:val="left" w:pos="420"/>
              </w:tabs>
              <w:overflowPunct w:val="0"/>
              <w:ind w:firstLine="0" w:firstLineChars="0"/>
              <w:jc w:val="center"/>
              <w:rPr>
                <w:rFonts w:ascii="Times New Roman" w:hAnsi="Times New Roman" w:cs="Times New Roman"/>
                <w:sz w:val="18"/>
                <w:szCs w:val="18"/>
              </w:rPr>
            </w:pPr>
            <w:r>
              <w:rPr>
                <w:rFonts w:hint="eastAsia" w:cs="Times New Roman"/>
                <w:sz w:val="18"/>
                <w:szCs w:val="18"/>
                <w:lang w:val="en-US" w:eastAsia="zh-CN"/>
              </w:rPr>
              <w:t>铜铟镓硒（</w:t>
            </w:r>
            <w:r>
              <w:rPr>
                <w:rFonts w:ascii="Times New Roman" w:hAnsi="Times New Roman" w:cs="Times New Roman"/>
                <w:sz w:val="18"/>
                <w:szCs w:val="18"/>
              </w:rPr>
              <w:t>CIGS</w:t>
            </w:r>
            <w:r>
              <w:rPr>
                <w:rFonts w:hint="eastAsia" w:cs="Times New Roman"/>
                <w:sz w:val="18"/>
                <w:szCs w:val="18"/>
                <w:lang w:val="en-US" w:eastAsia="zh-CN"/>
              </w:rPr>
              <w:t>）</w:t>
            </w:r>
          </w:p>
        </w:tc>
        <w:tc>
          <w:tcPr>
            <w:tcW w:w="4152" w:type="dxa"/>
            <w:vAlign w:val="center"/>
          </w:tcPr>
          <w:p w14:paraId="49C6A510">
            <w:pPr>
              <w:overflowPunct w:val="0"/>
              <w:jc w:val="center"/>
              <w:rPr>
                <w:rFonts w:ascii="宋体" w:hAnsi="宋体" w:cs="宋体"/>
                <w:sz w:val="18"/>
                <w:szCs w:val="18"/>
              </w:rPr>
            </w:pPr>
            <w:r>
              <w:rPr>
                <w:rFonts w:hint="eastAsia" w:ascii="宋体" w:hAnsi="宋体" w:cs="宋体"/>
                <w:sz w:val="18"/>
                <w:szCs w:val="18"/>
              </w:rPr>
              <w:t>≥</w:t>
            </w:r>
            <w:r>
              <w:rPr>
                <w:rFonts w:ascii="Times New Roman" w:hAnsi="Times New Roman" w:cs="Times New Roman"/>
                <w:sz w:val="18"/>
                <w:szCs w:val="18"/>
              </w:rPr>
              <w:t>1</w:t>
            </w:r>
            <w:r>
              <w:rPr>
                <w:rFonts w:hint="eastAsia" w:cs="Times New Roman"/>
                <w:sz w:val="18"/>
                <w:szCs w:val="18"/>
                <w:lang w:val="en-US" w:eastAsia="zh-CN"/>
              </w:rPr>
              <w:t>5</w:t>
            </w:r>
            <w:r>
              <w:rPr>
                <w:rFonts w:ascii="Times New Roman" w:hAnsi="Times New Roman" w:cs="Times New Roman"/>
                <w:sz w:val="18"/>
                <w:szCs w:val="18"/>
              </w:rPr>
              <w:t>%</w:t>
            </w:r>
          </w:p>
        </w:tc>
      </w:tr>
      <w:tr w14:paraId="7E4F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697CB724">
            <w:pPr>
              <w:pStyle w:val="362"/>
              <w:tabs>
                <w:tab w:val="left" w:pos="420"/>
              </w:tabs>
              <w:overflowPunct w:val="0"/>
              <w:ind w:firstLine="0" w:firstLineChars="0"/>
              <w:jc w:val="center"/>
              <w:rPr>
                <w:rFonts w:ascii="宋体" w:hAnsi="宋体" w:cs="宋体"/>
                <w:sz w:val="18"/>
                <w:szCs w:val="18"/>
              </w:rPr>
            </w:pPr>
          </w:p>
        </w:tc>
        <w:tc>
          <w:tcPr>
            <w:tcW w:w="3577" w:type="dxa"/>
            <w:gridSpan w:val="2"/>
            <w:vAlign w:val="center"/>
          </w:tcPr>
          <w:p w14:paraId="5BE0C975">
            <w:pPr>
              <w:pStyle w:val="362"/>
              <w:tabs>
                <w:tab w:val="left" w:pos="420"/>
              </w:tabs>
              <w:overflowPunct w:val="0"/>
              <w:ind w:firstLine="0" w:firstLineChars="0"/>
              <w:jc w:val="center"/>
              <w:rPr>
                <w:rFonts w:ascii="Times New Roman" w:hAnsi="Times New Roman" w:cs="Times New Roman"/>
                <w:sz w:val="18"/>
                <w:szCs w:val="18"/>
              </w:rPr>
            </w:pPr>
            <w:r>
              <w:rPr>
                <w:rFonts w:hint="eastAsia" w:cs="Times New Roman"/>
                <w:sz w:val="18"/>
                <w:szCs w:val="18"/>
                <w:lang w:val="en-US" w:eastAsia="zh-CN"/>
              </w:rPr>
              <w:t>碲化镉（</w:t>
            </w:r>
            <w:r>
              <w:rPr>
                <w:rFonts w:ascii="Times New Roman" w:hAnsi="Times New Roman" w:cs="Times New Roman"/>
                <w:sz w:val="18"/>
                <w:szCs w:val="18"/>
              </w:rPr>
              <w:t>CdTe</w:t>
            </w:r>
            <w:r>
              <w:rPr>
                <w:rFonts w:hint="eastAsia" w:cs="Times New Roman"/>
                <w:sz w:val="18"/>
                <w:szCs w:val="18"/>
                <w:lang w:val="en-US" w:eastAsia="zh-CN"/>
              </w:rPr>
              <w:t>）</w:t>
            </w:r>
          </w:p>
        </w:tc>
        <w:tc>
          <w:tcPr>
            <w:tcW w:w="4152" w:type="dxa"/>
            <w:vAlign w:val="center"/>
          </w:tcPr>
          <w:p w14:paraId="096C171D">
            <w:pPr>
              <w:overflowPunct w:val="0"/>
              <w:jc w:val="center"/>
              <w:rPr>
                <w:rFonts w:ascii="宋体" w:hAnsi="宋体" w:cs="宋体"/>
                <w:sz w:val="18"/>
                <w:szCs w:val="18"/>
              </w:rPr>
            </w:pPr>
            <w:r>
              <w:rPr>
                <w:rFonts w:hint="eastAsia" w:ascii="宋体" w:hAnsi="宋体" w:cs="宋体"/>
                <w:sz w:val="18"/>
                <w:szCs w:val="18"/>
              </w:rPr>
              <w:t>≥</w:t>
            </w:r>
            <w:r>
              <w:rPr>
                <w:rFonts w:ascii="Times New Roman" w:hAnsi="Times New Roman" w:cs="Times New Roman"/>
                <w:sz w:val="18"/>
                <w:szCs w:val="18"/>
              </w:rPr>
              <w:t>15%</w:t>
            </w:r>
          </w:p>
        </w:tc>
      </w:tr>
      <w:tr w14:paraId="22DE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2142AF2F">
            <w:pPr>
              <w:pStyle w:val="362"/>
              <w:tabs>
                <w:tab w:val="left" w:pos="420"/>
              </w:tabs>
              <w:overflowPunct w:val="0"/>
              <w:ind w:firstLine="0" w:firstLineChars="0"/>
              <w:jc w:val="center"/>
              <w:rPr>
                <w:rFonts w:ascii="宋体" w:hAnsi="宋体" w:cs="宋体"/>
                <w:sz w:val="18"/>
                <w:szCs w:val="18"/>
              </w:rPr>
            </w:pPr>
          </w:p>
        </w:tc>
        <w:tc>
          <w:tcPr>
            <w:tcW w:w="3577" w:type="dxa"/>
            <w:gridSpan w:val="2"/>
            <w:vAlign w:val="center"/>
          </w:tcPr>
          <w:p w14:paraId="7412B9E9">
            <w:pPr>
              <w:pStyle w:val="362"/>
              <w:tabs>
                <w:tab w:val="left" w:pos="420"/>
              </w:tabs>
              <w:overflowPunct w:val="0"/>
              <w:ind w:firstLine="0" w:firstLineChars="0"/>
              <w:jc w:val="center"/>
              <w:rPr>
                <w:rFonts w:ascii="宋体" w:hAnsi="宋体" w:cs="宋体"/>
                <w:sz w:val="18"/>
                <w:szCs w:val="18"/>
              </w:rPr>
            </w:pPr>
            <w:r>
              <w:rPr>
                <w:rFonts w:hint="eastAsia" w:ascii="宋体" w:hAnsi="宋体" w:cs="宋体"/>
                <w:sz w:val="18"/>
                <w:szCs w:val="18"/>
                <w:lang w:val="en-US" w:eastAsia="zh-CN"/>
              </w:rPr>
              <w:t>钙钛矿及</w:t>
            </w:r>
            <w:r>
              <w:rPr>
                <w:rFonts w:hint="eastAsia" w:ascii="宋体" w:hAnsi="宋体" w:cs="宋体"/>
                <w:sz w:val="18"/>
                <w:szCs w:val="18"/>
              </w:rPr>
              <w:t>其他</w:t>
            </w:r>
          </w:p>
        </w:tc>
        <w:tc>
          <w:tcPr>
            <w:tcW w:w="4152" w:type="dxa"/>
            <w:vAlign w:val="center"/>
          </w:tcPr>
          <w:p w14:paraId="5C8F49C6">
            <w:pPr>
              <w:overflowPunct w:val="0"/>
              <w:jc w:val="center"/>
              <w:rPr>
                <w:rFonts w:ascii="宋体" w:hAnsi="宋体" w:cs="宋体"/>
                <w:sz w:val="18"/>
                <w:szCs w:val="18"/>
              </w:rPr>
            </w:pPr>
            <w:r>
              <w:rPr>
                <w:rFonts w:hint="eastAsia" w:ascii="宋体" w:hAnsi="宋体" w:cs="宋体"/>
                <w:sz w:val="18"/>
                <w:szCs w:val="18"/>
              </w:rPr>
              <w:t>≥</w:t>
            </w:r>
            <w:r>
              <w:rPr>
                <w:rFonts w:ascii="Times New Roman" w:hAnsi="Times New Roman" w:cs="Times New Roman"/>
                <w:sz w:val="18"/>
                <w:szCs w:val="18"/>
              </w:rPr>
              <w:t>1</w:t>
            </w:r>
            <w:r>
              <w:rPr>
                <w:rFonts w:hint="eastAsia" w:cs="Times New Roman"/>
                <w:sz w:val="18"/>
                <w:szCs w:val="18"/>
                <w:lang w:val="en-US" w:eastAsia="zh-CN"/>
              </w:rPr>
              <w:t>4</w:t>
            </w:r>
            <w:r>
              <w:rPr>
                <w:rFonts w:ascii="Times New Roman" w:hAnsi="Times New Roman" w:cs="Times New Roman"/>
                <w:sz w:val="18"/>
                <w:szCs w:val="18"/>
              </w:rPr>
              <w:t>%</w:t>
            </w:r>
          </w:p>
        </w:tc>
      </w:tr>
    </w:tbl>
    <w:p w14:paraId="2E4695B4">
      <w:pPr>
        <w:tabs>
          <w:tab w:val="left" w:pos="397"/>
        </w:tabs>
        <w:overflowPunct w:val="0"/>
        <w:rPr>
          <w:rFonts w:ascii="Times New Roman" w:hAnsi="Times New Roman" w:cs="Times New Roman"/>
          <w:color w:val="0000FF"/>
          <w:szCs w:val="21"/>
        </w:rPr>
      </w:pPr>
      <w:r>
        <w:rPr>
          <w:rFonts w:hint="eastAsia" w:ascii="Times New Roman" w:hAnsi="Times New Roman" w:cs="Times New Roman"/>
          <w:color w:val="0000FF"/>
          <w:szCs w:val="21"/>
        </w:rPr>
        <w:t>【条文说明】本条提出光伏发电系统的设计要求：</w:t>
      </w:r>
    </w:p>
    <w:p w14:paraId="0F76DA60">
      <w:pPr>
        <w:tabs>
          <w:tab w:val="left" w:pos="397"/>
        </w:tabs>
        <w:overflowPunct w:val="0"/>
        <w:ind w:firstLine="420" w:firstLineChars="200"/>
        <w:rPr>
          <w:rFonts w:ascii="宋体" w:hAnsi="宋体" w:eastAsia="宋体" w:cs="宋体"/>
          <w:color w:val="0000FF"/>
          <w:szCs w:val="21"/>
        </w:rPr>
      </w:pPr>
      <w:r>
        <w:rPr>
          <w:rFonts w:hint="eastAsia" w:ascii="Times New Roman" w:hAnsi="Times New Roman" w:eastAsia="宋体" w:cs="Times New Roman"/>
          <w:color w:val="0000FF"/>
          <w:szCs w:val="21"/>
        </w:rPr>
        <w:t>1</w:t>
      </w:r>
      <w:r>
        <w:rPr>
          <w:rFonts w:ascii="Times New Roman" w:hAnsi="Times New Roman" w:eastAsia="宋体" w:cs="Times New Roman"/>
          <w:color w:val="0000FF"/>
          <w:szCs w:val="21"/>
        </w:rPr>
        <w:t>.</w:t>
      </w:r>
      <w:r>
        <w:rPr>
          <w:rFonts w:hint="eastAsia" w:ascii="宋体" w:hAnsi="宋体" w:eastAsia="宋体" w:cs="宋体"/>
          <w:color w:val="0000FF"/>
          <w:szCs w:val="21"/>
        </w:rPr>
        <w:t>太阳能利用与建筑一体化是太阳能应用的发展方向，应合理选择太阳能应用一体化系统类型、色泽、矩阵形式等，在保证光伏效率的前提下，尽可能做到与建筑物的外围护结构从建筑功能、外观形式、建筑风格、立面色调等协调一致，使之成为建筑的有机组成部分。太阳能应用一体化构件作为建筑围护结构时，其传热系数、气密性、太阳得热系数等热工性能应满足相关标准的规定；建筑光伏系统组件安装在建筑透光部位时，应满足建筑物室内采光的最低要求；建筑物之间的距离应符合系统有效吸收太阳辐射的要求，并降低二次辐射对周边环境的影响；系统组件的安装不应影响建筑通风换气的要求。</w:t>
      </w:r>
    </w:p>
    <w:p w14:paraId="0110D4BD">
      <w:pPr>
        <w:tabs>
          <w:tab w:val="left" w:pos="397"/>
        </w:tabs>
        <w:overflowPunct w:val="0"/>
        <w:ind w:firstLine="420" w:firstLineChars="200"/>
        <w:rPr>
          <w:rFonts w:ascii="宋体" w:hAnsi="宋体" w:eastAsia="宋体" w:cs="宋体"/>
          <w:color w:val="0000FF"/>
          <w:szCs w:val="21"/>
        </w:rPr>
      </w:pPr>
      <w:r>
        <w:rPr>
          <w:rFonts w:hint="eastAsia" w:ascii="宋体" w:hAnsi="宋体" w:eastAsia="宋体" w:cs="宋体"/>
          <w:color w:val="0000FF"/>
          <w:szCs w:val="21"/>
        </w:rPr>
        <w:t>2.从切实利用可再生能源电力，同时减少对外部电网冲击的角度，超低能耗建筑更鼓励自发自用，灵活利用柔性控制，充分消纳建筑光伏发电系统的电力。而从供电稳定性的角度，并网光伏系统可以确保建筑供电的稳定性。</w:t>
      </w:r>
    </w:p>
    <w:p w14:paraId="1E2973EE">
      <w:pPr>
        <w:tabs>
          <w:tab w:val="left" w:pos="397"/>
        </w:tabs>
        <w:overflowPunct w:val="0"/>
        <w:ind w:firstLine="420" w:firstLineChars="200"/>
        <w:rPr>
          <w:rFonts w:ascii="宋体" w:hAnsi="宋体" w:eastAsia="宋体" w:cs="宋体"/>
          <w:color w:val="0000FF"/>
          <w:szCs w:val="21"/>
        </w:rPr>
      </w:pPr>
      <w:r>
        <w:rPr>
          <w:rFonts w:hint="eastAsia" w:ascii="宋体" w:hAnsi="宋体" w:eastAsia="宋体" w:cs="宋体"/>
          <w:color w:val="0000FF"/>
          <w:szCs w:val="21"/>
        </w:rPr>
        <w:t>3.光伏安装面积在湖北省现有政策的基础上略有提升。</w:t>
      </w:r>
    </w:p>
    <w:p w14:paraId="103E0902">
      <w:pPr>
        <w:tabs>
          <w:tab w:val="left" w:pos="397"/>
        </w:tabs>
        <w:overflowPunct w:val="0"/>
        <w:ind w:firstLine="420" w:firstLineChars="200"/>
        <w:rPr>
          <w:rFonts w:hint="eastAsia"/>
        </w:rPr>
      </w:pPr>
      <w:r>
        <w:rPr>
          <w:rFonts w:hint="eastAsia" w:ascii="宋体" w:hAnsi="宋体" w:eastAsia="宋体" w:cs="宋体"/>
          <w:color w:val="0000FF"/>
          <w:szCs w:val="21"/>
        </w:rPr>
        <w:t>4.光伏组件初始发电效率来源于《光伏制造行业规范条件》（202</w:t>
      </w:r>
      <w:r>
        <w:rPr>
          <w:rFonts w:hint="eastAsia" w:ascii="宋体" w:hAnsi="宋体" w:cs="宋体"/>
          <w:color w:val="0000FF"/>
          <w:szCs w:val="21"/>
          <w:lang w:val="en-US" w:eastAsia="zh-CN"/>
        </w:rPr>
        <w:t>4</w:t>
      </w:r>
      <w:r>
        <w:rPr>
          <w:rFonts w:hint="eastAsia" w:ascii="宋体" w:hAnsi="宋体" w:eastAsia="宋体" w:cs="宋体"/>
          <w:color w:val="0000FF"/>
          <w:szCs w:val="21"/>
        </w:rPr>
        <w:t>年本）。</w:t>
      </w:r>
    </w:p>
    <w:p w14:paraId="335BF083">
      <w:pPr>
        <w:pStyle w:val="277"/>
        <w:numPr>
          <w:ilvl w:val="2"/>
          <w:numId w:val="41"/>
        </w:numPr>
        <w:spacing w:before="0" w:beforeLines="0" w:after="0" w:afterLines="0"/>
        <w:rPr>
          <w:rFonts w:ascii="Times New Roman" w:eastAsia="宋体"/>
          <w:bCs/>
        </w:rPr>
      </w:pPr>
      <w:r>
        <w:rPr>
          <w:rFonts w:hint="eastAsia" w:ascii="Times New Roman" w:eastAsia="宋体"/>
          <w:bCs/>
        </w:rPr>
        <w:t>应设置能耗监测系统，对建筑分类分项能耗进行监测和记录，并应符合下列规定：</w:t>
      </w:r>
    </w:p>
    <w:p w14:paraId="7F28BCDA">
      <w:pPr>
        <w:pStyle w:val="258"/>
        <w:ind w:firstLine="420"/>
        <w:rPr>
          <w:rFonts w:hint="eastAsia"/>
        </w:rPr>
      </w:pPr>
      <w:r>
        <w:rPr>
          <w:rFonts w:hint="eastAsia"/>
        </w:rPr>
        <w:t>1.能耗分类应覆盖建筑内所用的能源种类，能耗分项应保证供暖空调、照明、生活热水以及电梯分项能耗数据的获取。</w:t>
      </w:r>
    </w:p>
    <w:p w14:paraId="6EE4A74A">
      <w:pPr>
        <w:pStyle w:val="258"/>
        <w:ind w:firstLine="420"/>
        <w:rPr>
          <w:rFonts w:hint="eastAsia"/>
        </w:rPr>
      </w:pPr>
      <w:r>
        <w:rPr>
          <w:rFonts w:hint="eastAsia"/>
        </w:rPr>
        <w:t>2</w:t>
      </w:r>
      <w:r>
        <w:rPr>
          <w:rFonts w:hint="eastAsia"/>
          <w:lang w:val="en-US" w:eastAsia="zh-CN"/>
        </w:rPr>
        <w:t>.</w:t>
      </w:r>
      <w:r>
        <w:rPr>
          <w:rFonts w:hint="eastAsia"/>
        </w:rPr>
        <w:t>当采用可再生能源时，应对其发电量及供冷热量进行单独计量。</w:t>
      </w:r>
    </w:p>
    <w:p w14:paraId="4C012CC1">
      <w:pPr>
        <w:pStyle w:val="258"/>
        <w:ind w:firstLine="420"/>
        <w:rPr>
          <w:rFonts w:hint="eastAsia"/>
        </w:rPr>
      </w:pPr>
      <w:r>
        <w:rPr>
          <w:rFonts w:hint="eastAsia"/>
        </w:rPr>
        <w:t>3</w:t>
      </w:r>
      <w:r>
        <w:rPr>
          <w:rFonts w:hint="eastAsia"/>
          <w:lang w:val="en-US" w:eastAsia="zh-CN"/>
        </w:rPr>
        <w:t>.</w:t>
      </w:r>
      <w:r>
        <w:rPr>
          <w:rFonts w:hint="eastAsia"/>
        </w:rPr>
        <w:t>当采用储能系统时，应对其蓄放的能量进行计量。</w:t>
      </w:r>
    </w:p>
    <w:p w14:paraId="4004D45D">
      <w:pPr>
        <w:pStyle w:val="258"/>
        <w:ind w:firstLine="420"/>
        <w:rPr>
          <w:rFonts w:hint="eastAsia"/>
        </w:rPr>
      </w:pPr>
      <w:r>
        <w:rPr>
          <w:rFonts w:hint="eastAsia"/>
        </w:rPr>
        <w:t>4</w:t>
      </w:r>
      <w:r>
        <w:rPr>
          <w:rFonts w:hint="eastAsia"/>
          <w:lang w:val="en-US" w:eastAsia="zh-CN"/>
        </w:rPr>
        <w:t>.</w:t>
      </w:r>
      <w:r>
        <w:rPr>
          <w:rFonts w:hint="eastAsia"/>
        </w:rPr>
        <w:t>电耗计量系统应支持尖峰电价、调峰电价、实时电价、尖峰返利等基于时间的分时电价费率监测。</w:t>
      </w:r>
    </w:p>
    <w:p w14:paraId="6A474F1A">
      <w:pPr>
        <w:pStyle w:val="258"/>
        <w:ind w:firstLine="420"/>
      </w:pPr>
      <w:r>
        <w:rPr>
          <w:rFonts w:hint="eastAsia"/>
        </w:rPr>
        <w:t>5</w:t>
      </w:r>
      <w:r>
        <w:rPr>
          <w:rFonts w:hint="eastAsia"/>
          <w:lang w:val="en-US" w:eastAsia="zh-CN"/>
        </w:rPr>
        <w:t>.</w:t>
      </w:r>
      <w:r>
        <w:rPr>
          <w:rFonts w:hint="eastAsia"/>
        </w:rPr>
        <w:t>办公建筑宜将照明和插座分别进行电能监测与计量分析。</w:t>
      </w:r>
    </w:p>
    <w:p w14:paraId="0EEE45BE">
      <w:pPr>
        <w:tabs>
          <w:tab w:val="left" w:pos="397"/>
        </w:tabs>
        <w:overflowPunct w:val="0"/>
        <w:rPr>
          <w:b/>
          <w:sz w:val="24"/>
        </w:rPr>
      </w:pPr>
      <w:r>
        <w:rPr>
          <w:rFonts w:hint="eastAsia" w:ascii="Times New Roman" w:hAnsi="Times New Roman" w:cs="Times New Roman"/>
          <w:color w:val="0000FF"/>
          <w:szCs w:val="21"/>
        </w:rPr>
        <w:t>【条文说明】本条的主要目的是支撑建筑智能化系统对发电、储电、用电系统柔性调节与不同区域或用户的用冷、用热、用电量计量功能的实现。对于不同类型的建筑，核算单元不尽相同，对于公共建筑可以是整栋建筑，也可以是不同功能划分的区域，也可以根据使用主体进行划分。多能互补系统在保证用户需求的基础上，优先采用可再生能源，并以常规能源作为补充，突破采用单一能源类型的局限性，可提高系统可再生能源利用效率。</w:t>
      </w:r>
    </w:p>
    <w:p w14:paraId="3F67119D">
      <w:pPr>
        <w:pStyle w:val="259"/>
        <w:outlineLvl w:val="0"/>
      </w:pPr>
      <w:bookmarkStart w:id="35" w:name="_Toc2950924"/>
      <w:bookmarkStart w:id="36" w:name="_Toc25282"/>
      <w:r>
        <w:t>施工管理</w:t>
      </w:r>
      <w:bookmarkEnd w:id="35"/>
      <w:bookmarkEnd w:id="36"/>
    </w:p>
    <w:p w14:paraId="42F8C911">
      <w:pPr>
        <w:pStyle w:val="258"/>
        <w:numPr>
          <w:ilvl w:val="1"/>
          <w:numId w:val="42"/>
        </w:numPr>
        <w:spacing w:before="156" w:beforeLines="50" w:after="156" w:afterLines="50"/>
        <w:ind w:firstLineChars="0"/>
        <w:outlineLvl w:val="1"/>
        <w:rPr>
          <w:rFonts w:ascii="黑体" w:hAnsi="黑体" w:eastAsia="黑体"/>
        </w:rPr>
      </w:pPr>
      <w:bookmarkStart w:id="37" w:name="_Toc2950925"/>
      <w:bookmarkStart w:id="38" w:name="_Toc7718"/>
      <w:r>
        <w:rPr>
          <w:rFonts w:ascii="黑体" w:hAnsi="黑体" w:eastAsia="黑体"/>
        </w:rPr>
        <w:t>一般规定</w:t>
      </w:r>
      <w:bookmarkEnd w:id="37"/>
      <w:bookmarkEnd w:id="38"/>
    </w:p>
    <w:p w14:paraId="4B57C208">
      <w:pPr>
        <w:pStyle w:val="277"/>
        <w:numPr>
          <w:ilvl w:val="2"/>
          <w:numId w:val="43"/>
        </w:numPr>
        <w:spacing w:before="0" w:beforeLines="0" w:after="0" w:afterLines="0"/>
        <w:rPr>
          <w:rFonts w:eastAsia="宋体"/>
        </w:rPr>
      </w:pPr>
      <w:r>
        <w:rPr>
          <w:rFonts w:hint="eastAsia" w:eastAsia="宋体"/>
        </w:rPr>
        <w:t>施工单位应编制超低能耗专项施工方案，专项施工方案应包括保温做法、热桥控制、气密性保障以及设备设施预留与安装等关键环节，并应对施工人员进行技术交底</w:t>
      </w:r>
      <w:r>
        <w:rPr>
          <w:rFonts w:hint="eastAsia" w:eastAsia="宋体"/>
          <w:lang w:eastAsia="zh-CN"/>
        </w:rPr>
        <w:t>。</w:t>
      </w:r>
    </w:p>
    <w:p w14:paraId="4EA78CE5">
      <w:pPr>
        <w:pStyle w:val="277"/>
        <w:numPr>
          <w:ilvl w:val="2"/>
          <w:numId w:val="43"/>
        </w:numPr>
        <w:spacing w:before="0" w:beforeLines="0" w:after="0" w:afterLines="0"/>
        <w:rPr>
          <w:rFonts w:eastAsia="宋体"/>
        </w:rPr>
      </w:pPr>
      <w:r>
        <w:rPr>
          <w:rFonts w:hint="eastAsia" w:eastAsia="宋体"/>
        </w:rPr>
        <w:t>施工前对施工、监理、材料设备供应及现场关键工序操作等人员进行超低能耗专项施工培训，经培训合格后方可上岗。</w:t>
      </w:r>
    </w:p>
    <w:p w14:paraId="0FC0D1A3">
      <w:pPr>
        <w:pStyle w:val="277"/>
        <w:numPr>
          <w:ilvl w:val="2"/>
          <w:numId w:val="43"/>
        </w:numPr>
        <w:spacing w:before="0" w:beforeLines="0" w:after="0" w:afterLines="0"/>
        <w:rPr>
          <w:rFonts w:hint="eastAsia" w:eastAsia="宋体"/>
        </w:rPr>
      </w:pPr>
      <w:r>
        <w:rPr>
          <w:rFonts w:hint="eastAsia" w:eastAsia="宋体"/>
        </w:rPr>
        <w:t>严格控制设计文件变更，避免出现影响超低能耗建筑性能的重大变更。</w:t>
      </w:r>
    </w:p>
    <w:p w14:paraId="530ABF27">
      <w:pPr>
        <w:pStyle w:val="277"/>
        <w:numPr>
          <w:ilvl w:val="2"/>
          <w:numId w:val="43"/>
        </w:numPr>
        <w:spacing w:before="0" w:beforeLines="0" w:after="0" w:afterLines="0"/>
        <w:rPr>
          <w:rFonts w:eastAsia="宋体"/>
        </w:rPr>
      </w:pPr>
      <w:r>
        <w:rPr>
          <w:rFonts w:hint="eastAsia" w:eastAsia="宋体"/>
        </w:rPr>
        <w:t>施工单位在施工现场集中展示超低能耗专项工程施工信息及关键节点的详细做法，设立工程简介和技术指标公示牌、关键节点构造样板。</w:t>
      </w:r>
    </w:p>
    <w:p w14:paraId="46950E1A">
      <w:pPr>
        <w:pStyle w:val="277"/>
        <w:numPr>
          <w:ilvl w:val="2"/>
          <w:numId w:val="43"/>
        </w:numPr>
        <w:spacing w:before="0" w:beforeLines="0" w:after="0" w:afterLines="0"/>
        <w:rPr>
          <w:rFonts w:eastAsia="宋体"/>
        </w:rPr>
      </w:pPr>
      <w:r>
        <w:rPr>
          <w:rFonts w:eastAsia="宋体"/>
        </w:rPr>
        <w:t>施工和质量控制除应满足现行国家标准《建筑节能工程施工质量验收</w:t>
      </w:r>
      <w:r>
        <w:rPr>
          <w:rFonts w:hint="eastAsia" w:eastAsia="宋体"/>
          <w:lang w:val="en-US" w:eastAsia="zh-CN"/>
        </w:rPr>
        <w:t>标准</w:t>
      </w:r>
      <w:r>
        <w:rPr>
          <w:rFonts w:eastAsia="宋体"/>
        </w:rPr>
        <w:t>》</w:t>
      </w:r>
      <w:bookmarkStart w:id="39" w:name="OLE_LINK3"/>
      <w:r>
        <w:rPr>
          <w:rFonts w:eastAsia="宋体"/>
        </w:rPr>
        <w:t>GB50411</w:t>
      </w:r>
      <w:bookmarkEnd w:id="39"/>
      <w:r>
        <w:rPr>
          <w:rFonts w:eastAsia="宋体"/>
        </w:rPr>
        <w:t>及其他相关标准要求外，应针对热桥控制、气密性保障等关键环节，制定专项施工方案，通过细化施工工艺，严格过程控制，保障施工质量。</w:t>
      </w:r>
    </w:p>
    <w:p w14:paraId="60A56325">
      <w:pPr>
        <w:pStyle w:val="258"/>
        <w:numPr>
          <w:ilvl w:val="1"/>
          <w:numId w:val="42"/>
        </w:numPr>
        <w:spacing w:before="156" w:beforeLines="50" w:after="156" w:afterLines="50"/>
        <w:ind w:firstLineChars="0"/>
        <w:outlineLvl w:val="1"/>
        <w:rPr>
          <w:rFonts w:ascii="黑体" w:hAnsi="黑体" w:eastAsia="黑体"/>
        </w:rPr>
      </w:pPr>
      <w:bookmarkStart w:id="40" w:name="_Toc2950926"/>
      <w:bookmarkStart w:id="41" w:name="_Toc21836"/>
      <w:r>
        <w:rPr>
          <w:rFonts w:hint="eastAsia" w:ascii="黑体" w:hAnsi="黑体" w:eastAsia="黑体"/>
        </w:rPr>
        <w:t>施工技术要求</w:t>
      </w:r>
      <w:bookmarkEnd w:id="40"/>
      <w:bookmarkEnd w:id="41"/>
    </w:p>
    <w:p w14:paraId="4B880182">
      <w:pPr>
        <w:pStyle w:val="277"/>
        <w:numPr>
          <w:ilvl w:val="2"/>
          <w:numId w:val="44"/>
        </w:numPr>
        <w:spacing w:before="0" w:beforeLines="0" w:after="0" w:afterLines="0"/>
        <w:rPr>
          <w:rFonts w:eastAsia="宋体"/>
        </w:rPr>
      </w:pPr>
      <w:r>
        <w:rPr>
          <w:rFonts w:hint="eastAsia" w:eastAsia="宋体"/>
        </w:rPr>
        <w:t>外墙保温施工应符合下列要求：</w:t>
      </w:r>
    </w:p>
    <w:p w14:paraId="062D239B">
      <w:pPr>
        <w:pStyle w:val="258"/>
        <w:tabs>
          <w:tab w:val="center" w:pos="4201"/>
          <w:tab w:val="right" w:leader="dot" w:pos="9298"/>
        </w:tabs>
        <w:ind w:firstLine="420"/>
        <w:rPr>
          <w:rFonts w:ascii="Times New Roman"/>
          <w:szCs w:val="22"/>
        </w:rPr>
      </w:pPr>
      <w:r>
        <w:rPr>
          <w:rFonts w:hint="eastAsia" w:ascii="Times New Roman"/>
          <w:szCs w:val="22"/>
        </w:rPr>
        <w:t>1.外墙保温施工应在外门窗和基层墙体上的预埋件安装完成并验收合格后进行；</w:t>
      </w:r>
    </w:p>
    <w:p w14:paraId="6A1C1724">
      <w:pPr>
        <w:pStyle w:val="258"/>
        <w:tabs>
          <w:tab w:val="center" w:pos="4201"/>
          <w:tab w:val="right" w:leader="dot" w:pos="9298"/>
        </w:tabs>
        <w:ind w:firstLine="420"/>
        <w:rPr>
          <w:rFonts w:ascii="Times New Roman"/>
          <w:szCs w:val="22"/>
        </w:rPr>
      </w:pPr>
      <w:r>
        <w:rPr>
          <w:rFonts w:hint="eastAsia" w:ascii="Times New Roman"/>
          <w:szCs w:val="22"/>
        </w:rPr>
        <w:t>2.外墙保温层应粘贴平整且无缝隙，当采用双层错缝粘贴体系时，内层保温板宜采用点框粘贴，外层保温板采用满粘法；</w:t>
      </w:r>
    </w:p>
    <w:p w14:paraId="06ED5657">
      <w:pPr>
        <w:pStyle w:val="258"/>
        <w:tabs>
          <w:tab w:val="center" w:pos="4201"/>
          <w:tab w:val="right" w:leader="dot" w:pos="9298"/>
        </w:tabs>
        <w:ind w:firstLine="420"/>
        <w:rPr>
          <w:rFonts w:ascii="Times New Roman"/>
          <w:szCs w:val="22"/>
        </w:rPr>
      </w:pPr>
      <w:r>
        <w:rPr>
          <w:rFonts w:hint="eastAsia" w:ascii="Times New Roman"/>
          <w:szCs w:val="22"/>
        </w:rPr>
        <w:t>3.保温层应采用断热桥锚栓固定，断热桥锚栓安装应至少在保温板粘贴24h后进行；安装锚固件时，应先向预打孔洞中注入聚氨酯发泡剂，再立即安装锚固件；</w:t>
      </w:r>
    </w:p>
    <w:p w14:paraId="04B41A02">
      <w:pPr>
        <w:pStyle w:val="258"/>
        <w:tabs>
          <w:tab w:val="center" w:pos="4201"/>
          <w:tab w:val="right" w:leader="dot" w:pos="9298"/>
        </w:tabs>
        <w:ind w:firstLine="420"/>
        <w:rPr>
          <w:rFonts w:ascii="Times New Roman"/>
          <w:szCs w:val="22"/>
        </w:rPr>
      </w:pPr>
      <w:r>
        <w:rPr>
          <w:rFonts w:hint="eastAsia" w:ascii="Times New Roman"/>
          <w:szCs w:val="22"/>
        </w:rPr>
        <w:t>4.防火隔离带与其他保温材料应搭接严密或采用错缝粘贴，避免出现较大缝隙；如缝隙较大，应采用发泡材料严密封堵；岩棉防火隔离带应全部采用满粘法。</w:t>
      </w:r>
    </w:p>
    <w:p w14:paraId="526DC111">
      <w:pPr>
        <w:pStyle w:val="277"/>
        <w:numPr>
          <w:ilvl w:val="2"/>
          <w:numId w:val="44"/>
        </w:numPr>
        <w:spacing w:before="0" w:beforeLines="0" w:after="0" w:afterLines="0"/>
        <w:rPr>
          <w:rFonts w:eastAsia="宋体"/>
        </w:rPr>
      </w:pPr>
      <w:r>
        <w:rPr>
          <w:rFonts w:hint="eastAsia" w:eastAsia="宋体"/>
        </w:rPr>
        <w:t>屋面保温施工应符合下列要求：</w:t>
      </w:r>
    </w:p>
    <w:p w14:paraId="73794765">
      <w:pPr>
        <w:pStyle w:val="258"/>
        <w:tabs>
          <w:tab w:val="center" w:pos="4201"/>
          <w:tab w:val="right" w:leader="dot" w:pos="9298"/>
        </w:tabs>
        <w:ind w:firstLine="420"/>
        <w:rPr>
          <w:rFonts w:ascii="Times New Roman"/>
          <w:szCs w:val="22"/>
        </w:rPr>
      </w:pPr>
      <w:r>
        <w:rPr>
          <w:rFonts w:hint="eastAsia" w:ascii="Times New Roman"/>
          <w:szCs w:val="22"/>
        </w:rPr>
        <w:t>1.屋面保温施工前，铺设保温层的基层应平整、干燥、干净；穿过屋面结构层的管道、设备基座、预埋件等应已采用热桥控制措施安装完成并通过验收；</w:t>
      </w:r>
    </w:p>
    <w:p w14:paraId="5CAA2D00">
      <w:pPr>
        <w:pStyle w:val="258"/>
        <w:tabs>
          <w:tab w:val="center" w:pos="4201"/>
          <w:tab w:val="right" w:leader="dot" w:pos="9298"/>
        </w:tabs>
        <w:ind w:firstLine="420"/>
        <w:rPr>
          <w:rFonts w:ascii="Times New Roman"/>
          <w:szCs w:val="22"/>
        </w:rPr>
      </w:pPr>
      <w:r>
        <w:rPr>
          <w:rFonts w:hint="eastAsia" w:ascii="Times New Roman"/>
          <w:szCs w:val="22"/>
        </w:rPr>
        <w:t>2.超低能耗建筑屋面保温层较厚，如为多层铺贴，应注意每层铺贴均应采用粘结材料粘结，防止裂缝；</w:t>
      </w:r>
    </w:p>
    <w:p w14:paraId="3AF1470E">
      <w:pPr>
        <w:pStyle w:val="258"/>
        <w:tabs>
          <w:tab w:val="center" w:pos="4201"/>
          <w:tab w:val="right" w:leader="dot" w:pos="9298"/>
        </w:tabs>
        <w:ind w:firstLine="420"/>
        <w:rPr>
          <w:rFonts w:ascii="Times New Roman"/>
          <w:szCs w:val="22"/>
        </w:rPr>
      </w:pPr>
      <w:r>
        <w:rPr>
          <w:rFonts w:hint="eastAsia" w:ascii="Times New Roman"/>
          <w:szCs w:val="22"/>
        </w:rPr>
        <w:t>3.出屋面管道应进行断热桥和防水措施处理，预留洞口应大于管道外径并满足保温厚度要求；伸出屋面外的管道应设置套管进行保护，套管与管道间应设置保温层。</w:t>
      </w:r>
    </w:p>
    <w:p w14:paraId="059E8D02">
      <w:pPr>
        <w:pStyle w:val="277"/>
        <w:numPr>
          <w:ilvl w:val="2"/>
          <w:numId w:val="44"/>
        </w:numPr>
        <w:spacing w:before="0" w:beforeLines="0" w:after="0" w:afterLines="0"/>
        <w:rPr>
          <w:rFonts w:eastAsia="宋体"/>
        </w:rPr>
      </w:pPr>
      <w:r>
        <w:rPr>
          <w:rFonts w:hint="eastAsia" w:eastAsia="宋体"/>
        </w:rPr>
        <w:t>外门窗安装应符合下列要求：</w:t>
      </w:r>
    </w:p>
    <w:p w14:paraId="3D6F73DA">
      <w:pPr>
        <w:pStyle w:val="258"/>
        <w:tabs>
          <w:tab w:val="center" w:pos="4201"/>
          <w:tab w:val="right" w:leader="dot" w:pos="9298"/>
        </w:tabs>
        <w:ind w:firstLine="420"/>
        <w:rPr>
          <w:rFonts w:ascii="Times New Roman"/>
          <w:szCs w:val="22"/>
        </w:rPr>
      </w:pPr>
      <w:r>
        <w:rPr>
          <w:rFonts w:hint="eastAsia" w:ascii="Times New Roman"/>
          <w:szCs w:val="22"/>
        </w:rPr>
        <w:t>1.外门窗与基层墙体的联结件应进行阻断热桥的处理，联结件与基层墙体间可设置隔热垫片；</w:t>
      </w:r>
    </w:p>
    <w:p w14:paraId="476C93AB">
      <w:pPr>
        <w:pStyle w:val="258"/>
        <w:tabs>
          <w:tab w:val="center" w:pos="4201"/>
          <w:tab w:val="right" w:leader="dot" w:pos="9298"/>
        </w:tabs>
        <w:ind w:firstLine="420"/>
        <w:rPr>
          <w:rFonts w:ascii="Times New Roman"/>
          <w:szCs w:val="22"/>
        </w:rPr>
      </w:pPr>
      <w:r>
        <w:rPr>
          <w:rFonts w:hint="eastAsia" w:ascii="Times New Roman"/>
          <w:szCs w:val="22"/>
        </w:rPr>
        <w:t>2.外门窗洞口与</w:t>
      </w:r>
      <w:r>
        <w:rPr>
          <w:rFonts w:ascii="Times New Roman"/>
          <w:szCs w:val="22"/>
        </w:rPr>
        <w:t>窗框连接处应进行防水密封处理</w:t>
      </w:r>
      <w:r>
        <w:rPr>
          <w:rFonts w:hint="eastAsia" w:ascii="Times New Roman"/>
          <w:szCs w:val="22"/>
        </w:rPr>
        <w:t>，室内侧粘贴防水隔汽材料，室外侧粘贴防水透汽材料，施工中应谨防室外侧防水透气材料被外窗联结件棱角破坏；</w:t>
      </w:r>
    </w:p>
    <w:p w14:paraId="0D14BF96">
      <w:pPr>
        <w:pStyle w:val="258"/>
        <w:tabs>
          <w:tab w:val="center" w:pos="4201"/>
          <w:tab w:val="right" w:leader="dot" w:pos="9298"/>
        </w:tabs>
        <w:ind w:firstLine="420"/>
        <w:rPr>
          <w:rFonts w:ascii="Times New Roman"/>
          <w:szCs w:val="22"/>
        </w:rPr>
      </w:pPr>
      <w:r>
        <w:rPr>
          <w:rFonts w:hint="eastAsia" w:ascii="Times New Roman"/>
          <w:szCs w:val="22"/>
        </w:rPr>
        <w:t>3.外墙保温板宜覆盖部分窗框，覆盖宽度不宜小于20mm，如果开启扇外侧安装纱窗，留出纱窗的安装位置；</w:t>
      </w:r>
    </w:p>
    <w:p w14:paraId="0B13BF8A">
      <w:pPr>
        <w:pStyle w:val="258"/>
        <w:tabs>
          <w:tab w:val="center" w:pos="4201"/>
          <w:tab w:val="right" w:leader="dot" w:pos="9298"/>
        </w:tabs>
        <w:ind w:firstLine="420"/>
        <w:rPr>
          <w:rFonts w:ascii="Times New Roman"/>
          <w:szCs w:val="22"/>
        </w:rPr>
      </w:pPr>
      <w:r>
        <w:rPr>
          <w:rFonts w:hint="eastAsia" w:ascii="Times New Roman"/>
          <w:szCs w:val="22"/>
        </w:rPr>
        <w:t>4.窗底应安装窗台板散水，窗台板两端及底部与保温层之间的缝隙应用预压膨胀密封带填塞；门洞窗洞上方应安装滴水线条。</w:t>
      </w:r>
    </w:p>
    <w:p w14:paraId="7E4FE1D8">
      <w:pPr>
        <w:pStyle w:val="277"/>
        <w:numPr>
          <w:ilvl w:val="2"/>
          <w:numId w:val="44"/>
        </w:numPr>
        <w:spacing w:before="0" w:beforeLines="0" w:after="0" w:afterLines="0"/>
        <w:rPr>
          <w:rFonts w:eastAsia="宋体"/>
        </w:rPr>
      </w:pPr>
      <w:r>
        <w:rPr>
          <w:rFonts w:hint="eastAsia" w:eastAsia="宋体"/>
        </w:rPr>
        <w:t>针对外遮阳的安装，应在外窗安装已完成、外保温尚未施工时确定外遮阳的固定位置，并安装联结件。联结件与基层墙体之间应进行阻断热桥的处理。</w:t>
      </w:r>
    </w:p>
    <w:p w14:paraId="28E43AC4">
      <w:pPr>
        <w:pStyle w:val="277"/>
        <w:numPr>
          <w:ilvl w:val="2"/>
          <w:numId w:val="44"/>
        </w:numPr>
        <w:spacing w:before="0" w:beforeLines="0" w:after="0" w:afterLines="0"/>
        <w:rPr>
          <w:rFonts w:eastAsia="宋体"/>
        </w:rPr>
      </w:pPr>
      <w:r>
        <w:rPr>
          <w:rFonts w:hint="eastAsia" w:eastAsia="宋体"/>
        </w:rPr>
        <w:t>空调支架、雨水管支架等外墙金属支架的安装应控制热桥效应，满足如下要求：</w:t>
      </w:r>
    </w:p>
    <w:p w14:paraId="78799AE0">
      <w:pPr>
        <w:pStyle w:val="258"/>
        <w:tabs>
          <w:tab w:val="center" w:pos="4201"/>
          <w:tab w:val="right" w:leader="dot" w:pos="9298"/>
        </w:tabs>
        <w:ind w:firstLine="420"/>
        <w:rPr>
          <w:rFonts w:ascii="Times New Roman"/>
          <w:szCs w:val="22"/>
        </w:rPr>
      </w:pPr>
      <w:r>
        <w:rPr>
          <w:rFonts w:hint="eastAsia" w:ascii="Times New Roman"/>
          <w:szCs w:val="22"/>
        </w:rPr>
        <w:t>1.应在基层墙体上预留支架安装位置，然后做外墙保温；</w:t>
      </w:r>
    </w:p>
    <w:p w14:paraId="53E12708">
      <w:pPr>
        <w:pStyle w:val="258"/>
        <w:tabs>
          <w:tab w:val="center" w:pos="4201"/>
          <w:tab w:val="right" w:leader="dot" w:pos="9298"/>
        </w:tabs>
        <w:ind w:firstLine="420"/>
        <w:rPr>
          <w:rFonts w:ascii="Times New Roman"/>
          <w:szCs w:val="22"/>
        </w:rPr>
      </w:pPr>
      <w:r>
        <w:rPr>
          <w:rFonts w:hint="eastAsia" w:ascii="Times New Roman"/>
          <w:szCs w:val="22"/>
        </w:rPr>
        <w:t>2.金属支架与墙体之间垫20</w:t>
      </w:r>
      <w:r>
        <w:rPr>
          <w:rFonts w:ascii="Times New Roman"/>
          <w:szCs w:val="22"/>
        </w:rPr>
        <w:t>mm</w:t>
      </w:r>
      <w:r>
        <w:rPr>
          <w:rFonts w:hint="eastAsia" w:ascii="Times New Roman"/>
          <w:szCs w:val="22"/>
        </w:rPr>
        <w:t>硬性隔热材料，并完全包覆在保温层内。</w:t>
      </w:r>
    </w:p>
    <w:p w14:paraId="3C8729DA">
      <w:pPr>
        <w:pStyle w:val="277"/>
        <w:numPr>
          <w:ilvl w:val="2"/>
          <w:numId w:val="44"/>
        </w:numPr>
        <w:spacing w:before="0" w:beforeLines="0" w:after="0" w:afterLines="0"/>
        <w:rPr>
          <w:rFonts w:eastAsia="宋体"/>
        </w:rPr>
      </w:pPr>
      <w:r>
        <w:rPr>
          <w:rFonts w:hint="eastAsia" w:eastAsia="宋体"/>
        </w:rPr>
        <w:t>穿墙管道的</w:t>
      </w:r>
      <w:r>
        <w:rPr>
          <w:rFonts w:eastAsia="宋体"/>
        </w:rPr>
        <w:t>气密性处理应满足如下要求：</w:t>
      </w:r>
    </w:p>
    <w:p w14:paraId="5BF8D97B">
      <w:pPr>
        <w:pStyle w:val="258"/>
        <w:tabs>
          <w:tab w:val="center" w:pos="4201"/>
          <w:tab w:val="right" w:leader="dot" w:pos="9298"/>
        </w:tabs>
        <w:ind w:firstLine="420"/>
        <w:rPr>
          <w:rFonts w:hint="eastAsia" w:ascii="Times New Roman" w:eastAsia="宋体"/>
          <w:szCs w:val="22"/>
          <w:lang w:eastAsia="zh-CN"/>
        </w:rPr>
      </w:pPr>
      <w:r>
        <w:rPr>
          <w:rFonts w:ascii="Times New Roman"/>
          <w:szCs w:val="22"/>
        </w:rPr>
        <w:t>1.纵向管路贯穿部位应预留最小施工间距，便于进行气密性施工处理</w:t>
      </w:r>
      <w:r>
        <w:rPr>
          <w:rFonts w:hint="eastAsia" w:ascii="Times New Roman"/>
          <w:szCs w:val="22"/>
          <w:lang w:eastAsia="zh-CN"/>
        </w:rPr>
        <w:t>。</w:t>
      </w:r>
    </w:p>
    <w:p w14:paraId="7BC1C25B">
      <w:pPr>
        <w:pStyle w:val="258"/>
        <w:tabs>
          <w:tab w:val="center" w:pos="4201"/>
          <w:tab w:val="right" w:leader="dot" w:pos="9298"/>
        </w:tabs>
        <w:ind w:firstLine="420"/>
        <w:rPr>
          <w:rFonts w:ascii="Times New Roman"/>
          <w:szCs w:val="22"/>
        </w:rPr>
      </w:pPr>
      <w:r>
        <w:rPr>
          <w:rFonts w:ascii="Times New Roman"/>
          <w:szCs w:val="22"/>
        </w:rPr>
        <w:t>2.当管道穿外围护结构时，预留套管与管道间的缝隙应进行可靠封堵。当采用发泡剂填充时，应将两端封堵后进行发泡，以保障发泡紧实度，发泡完全干透后，应做平整处理，并用抗裂网和抗裂砂浆封堵严密。</w:t>
      </w:r>
    </w:p>
    <w:p w14:paraId="10A20787">
      <w:pPr>
        <w:pStyle w:val="258"/>
        <w:tabs>
          <w:tab w:val="center" w:pos="4201"/>
          <w:tab w:val="right" w:leader="dot" w:pos="9298"/>
        </w:tabs>
        <w:ind w:firstLine="420"/>
        <w:rPr>
          <w:rFonts w:hint="eastAsia" w:ascii="Times New Roman" w:eastAsia="宋体"/>
          <w:szCs w:val="22"/>
          <w:lang w:eastAsia="zh-CN"/>
        </w:rPr>
      </w:pPr>
      <w:r>
        <w:rPr>
          <w:rFonts w:ascii="Times New Roman"/>
          <w:szCs w:val="22"/>
        </w:rPr>
        <w:t>3.管道、电线等贯穿处可使用专用密封带可靠密封</w:t>
      </w:r>
      <w:r>
        <w:rPr>
          <w:rFonts w:hint="eastAsia" w:ascii="Times New Roman"/>
          <w:szCs w:val="22"/>
          <w:lang w:eastAsia="zh-CN"/>
        </w:rPr>
        <w:t>。</w:t>
      </w:r>
    </w:p>
    <w:p w14:paraId="6D80A164">
      <w:pPr>
        <w:pStyle w:val="258"/>
        <w:tabs>
          <w:tab w:val="center" w:pos="4201"/>
          <w:tab w:val="right" w:leader="dot" w:pos="9298"/>
        </w:tabs>
        <w:ind w:firstLine="420"/>
        <w:rPr>
          <w:rFonts w:hint="eastAsia" w:ascii="Times New Roman" w:eastAsia="宋体"/>
          <w:szCs w:val="22"/>
          <w:lang w:eastAsia="zh-CN"/>
        </w:rPr>
      </w:pPr>
      <w:r>
        <w:rPr>
          <w:rFonts w:ascii="Times New Roman"/>
          <w:szCs w:val="22"/>
        </w:rPr>
        <w:t>4.电气接线盒安装时，应先在孔洞内涂抹石膏或粘接砂浆，再将接线盒推入孔洞，保障接线盒与墙体嵌接处的气密性</w:t>
      </w:r>
      <w:r>
        <w:rPr>
          <w:rFonts w:hint="eastAsia" w:ascii="Times New Roman"/>
          <w:szCs w:val="22"/>
          <w:lang w:eastAsia="zh-CN"/>
        </w:rPr>
        <w:t>。</w:t>
      </w:r>
    </w:p>
    <w:p w14:paraId="7F542C16">
      <w:pPr>
        <w:pStyle w:val="258"/>
        <w:tabs>
          <w:tab w:val="center" w:pos="4201"/>
          <w:tab w:val="right" w:leader="dot" w:pos="9298"/>
        </w:tabs>
        <w:ind w:firstLine="420"/>
        <w:rPr>
          <w:rFonts w:ascii="Times New Roman"/>
          <w:szCs w:val="22"/>
        </w:rPr>
      </w:pPr>
      <w:r>
        <w:rPr>
          <w:rFonts w:ascii="Times New Roman"/>
          <w:szCs w:val="22"/>
        </w:rPr>
        <w:t>5.室内电线管路可能形成空气流通通道，敷线完毕后应对端头部位进行封堵，保障气密性。</w:t>
      </w:r>
    </w:p>
    <w:p w14:paraId="7462CF68">
      <w:pPr>
        <w:pStyle w:val="277"/>
        <w:numPr>
          <w:ilvl w:val="2"/>
          <w:numId w:val="44"/>
        </w:numPr>
        <w:spacing w:before="0" w:beforeLines="0" w:after="0" w:afterLines="0"/>
        <w:rPr>
          <w:rFonts w:eastAsia="宋体"/>
        </w:rPr>
      </w:pPr>
      <w:r>
        <w:rPr>
          <w:rFonts w:hint="eastAsia" w:eastAsia="宋体"/>
        </w:rPr>
        <w:t>施工过程中</w:t>
      </w:r>
      <w:r>
        <w:rPr>
          <w:rFonts w:hint="eastAsia" w:eastAsia="宋体"/>
          <w:lang w:val="en-US" w:eastAsia="zh-CN"/>
        </w:rPr>
        <w:t>应</w:t>
      </w:r>
      <w:r>
        <w:rPr>
          <w:rFonts w:hint="eastAsia" w:eastAsia="宋体"/>
        </w:rPr>
        <w:t>对热桥及气密性关键性部位进行热工缺陷和气密性检测，查找漏点并及时修补。</w:t>
      </w:r>
    </w:p>
    <w:p w14:paraId="24A4B67B">
      <w:pPr>
        <w:pStyle w:val="277"/>
        <w:numPr>
          <w:ilvl w:val="2"/>
          <w:numId w:val="44"/>
        </w:numPr>
        <w:spacing w:before="0" w:beforeLines="0" w:after="0" w:afterLines="0"/>
        <w:rPr>
          <w:rFonts w:eastAsia="宋体"/>
        </w:rPr>
      </w:pPr>
      <w:r>
        <w:rPr>
          <w:rFonts w:hint="eastAsia" w:eastAsia="宋体"/>
        </w:rPr>
        <w:t>机电系统施工应符合下列规定：</w:t>
      </w:r>
    </w:p>
    <w:p w14:paraId="72749E42">
      <w:pPr>
        <w:pStyle w:val="258"/>
        <w:tabs>
          <w:tab w:val="center" w:pos="4201"/>
          <w:tab w:val="right" w:leader="dot" w:pos="9298"/>
        </w:tabs>
        <w:ind w:firstLine="420"/>
        <w:rPr>
          <w:rFonts w:ascii="Times New Roman"/>
          <w:szCs w:val="22"/>
        </w:rPr>
      </w:pPr>
      <w:r>
        <w:rPr>
          <w:rFonts w:hint="eastAsia" w:ascii="Times New Roman"/>
          <w:szCs w:val="22"/>
        </w:rPr>
        <w:t>1.</w:t>
      </w:r>
      <w:r>
        <w:rPr>
          <w:rFonts w:ascii="Times New Roman"/>
          <w:szCs w:val="22"/>
        </w:rPr>
        <w:t>机电系统</w:t>
      </w:r>
      <w:r>
        <w:rPr>
          <w:rFonts w:hint="eastAsia" w:ascii="Times New Roman"/>
          <w:szCs w:val="22"/>
          <w:lang w:val="en-US" w:eastAsia="zh-CN"/>
        </w:rPr>
        <w:t>安装应避免产生热桥和破坏气密层。</w:t>
      </w:r>
    </w:p>
    <w:p w14:paraId="3B05D767">
      <w:pPr>
        <w:pStyle w:val="258"/>
        <w:tabs>
          <w:tab w:val="center" w:pos="4201"/>
          <w:tab w:val="right" w:leader="dot" w:pos="9298"/>
        </w:tabs>
        <w:ind w:firstLine="420"/>
        <w:rPr>
          <w:rFonts w:hint="eastAsia" w:ascii="Times New Roman" w:eastAsia="宋体"/>
          <w:szCs w:val="22"/>
          <w:lang w:eastAsia="zh-CN"/>
        </w:rPr>
      </w:pPr>
      <w:r>
        <w:rPr>
          <w:rFonts w:hint="eastAsia" w:ascii="Times New Roman"/>
          <w:szCs w:val="22"/>
        </w:rPr>
        <w:t>2.施工期间新风系统所有敞开部位均应做防尘保护</w:t>
      </w:r>
      <w:r>
        <w:rPr>
          <w:rFonts w:hint="eastAsia" w:ascii="Times New Roman"/>
          <w:szCs w:val="22"/>
          <w:lang w:eastAsia="zh-CN"/>
        </w:rPr>
        <w:t>。</w:t>
      </w:r>
    </w:p>
    <w:p w14:paraId="43E32E69">
      <w:pPr>
        <w:pStyle w:val="258"/>
        <w:tabs>
          <w:tab w:val="center" w:pos="4201"/>
          <w:tab w:val="right" w:leader="dot" w:pos="9298"/>
        </w:tabs>
        <w:ind w:firstLine="420"/>
        <w:rPr>
          <w:rFonts w:ascii="Times New Roman"/>
          <w:szCs w:val="22"/>
        </w:rPr>
      </w:pPr>
      <w:r>
        <w:rPr>
          <w:rFonts w:hint="eastAsia" w:ascii="Times New Roman"/>
          <w:szCs w:val="22"/>
        </w:rPr>
        <w:t>3.</w:t>
      </w:r>
      <w:r>
        <w:rPr>
          <w:rFonts w:hint="eastAsia" w:ascii="Times New Roman"/>
          <w:szCs w:val="22"/>
          <w:lang w:val="en-US" w:eastAsia="zh-CN"/>
        </w:rPr>
        <w:t>机组安装及管道施工过程中应采取消声隔振处理</w:t>
      </w:r>
      <w:r>
        <w:rPr>
          <w:rFonts w:hint="eastAsia" w:ascii="Times New Roman"/>
          <w:szCs w:val="22"/>
        </w:rPr>
        <w:t>。</w:t>
      </w:r>
    </w:p>
    <w:p w14:paraId="45E847F0">
      <w:pPr>
        <w:pStyle w:val="258"/>
        <w:numPr>
          <w:ilvl w:val="1"/>
          <w:numId w:val="42"/>
        </w:numPr>
        <w:spacing w:before="156" w:beforeLines="50" w:after="156" w:afterLines="50"/>
        <w:ind w:firstLineChars="0"/>
        <w:outlineLvl w:val="1"/>
        <w:rPr>
          <w:rFonts w:ascii="黑体" w:hAnsi="黑体" w:eastAsia="黑体"/>
        </w:rPr>
      </w:pPr>
      <w:bookmarkStart w:id="42" w:name="_Toc19992"/>
      <w:bookmarkStart w:id="43" w:name="_Toc2950927"/>
      <w:r>
        <w:rPr>
          <w:rFonts w:hint="eastAsia" w:ascii="黑体" w:hAnsi="黑体" w:eastAsia="黑体"/>
        </w:rPr>
        <w:t>验收要求</w:t>
      </w:r>
      <w:bookmarkEnd w:id="42"/>
      <w:bookmarkEnd w:id="43"/>
    </w:p>
    <w:p w14:paraId="5CF0F8A1">
      <w:pPr>
        <w:pStyle w:val="277"/>
        <w:numPr>
          <w:ilvl w:val="2"/>
          <w:numId w:val="45"/>
        </w:numPr>
        <w:spacing w:before="0" w:beforeLines="0" w:after="0" w:afterLines="0"/>
        <w:rPr>
          <w:rFonts w:eastAsia="宋体"/>
        </w:rPr>
      </w:pPr>
      <w:r>
        <w:rPr>
          <w:rFonts w:eastAsia="宋体"/>
        </w:rPr>
        <w:t>进场验收主控项目应符合下列要求：</w:t>
      </w:r>
    </w:p>
    <w:p w14:paraId="5A4005D4">
      <w:pPr>
        <w:pStyle w:val="258"/>
        <w:tabs>
          <w:tab w:val="center" w:pos="4201"/>
          <w:tab w:val="right" w:leader="dot" w:pos="9298"/>
        </w:tabs>
        <w:ind w:firstLine="420"/>
        <w:rPr>
          <w:rFonts w:ascii="Times New Roman"/>
          <w:szCs w:val="22"/>
        </w:rPr>
      </w:pPr>
      <w:r>
        <w:rPr>
          <w:rFonts w:hint="eastAsia" w:ascii="Times New Roman"/>
          <w:szCs w:val="22"/>
        </w:rPr>
        <w:t>1.围护结构保温</w:t>
      </w:r>
      <w:r>
        <w:rPr>
          <w:rFonts w:ascii="Times New Roman"/>
          <w:szCs w:val="22"/>
        </w:rPr>
        <w:t>材料进场时，应进行施工现场见证取样复验，复验结果应符合设计要求；</w:t>
      </w:r>
    </w:p>
    <w:p w14:paraId="6567FCB9">
      <w:pPr>
        <w:pStyle w:val="258"/>
        <w:tabs>
          <w:tab w:val="center" w:pos="4201"/>
          <w:tab w:val="right" w:leader="dot" w:pos="9298"/>
        </w:tabs>
        <w:ind w:firstLine="420"/>
        <w:rPr>
          <w:rFonts w:ascii="Times New Roman"/>
          <w:szCs w:val="22"/>
        </w:rPr>
      </w:pPr>
      <w:r>
        <w:rPr>
          <w:rFonts w:hint="eastAsia" w:ascii="Times New Roman"/>
          <w:szCs w:val="22"/>
        </w:rPr>
        <w:t>2.</w:t>
      </w:r>
      <w:r>
        <w:rPr>
          <w:rFonts w:ascii="Times New Roman"/>
          <w:szCs w:val="22"/>
        </w:rPr>
        <w:t>外门窗（包括天窗）应整窗进场。外门窗、建筑幕墙（含采光顶）及外遮阳设施进场时，应进行施工现场见证取样复验，复验结果应符合设计要求；外门窗所用防水透汽材料、防水隔气材料进场时，应进行质量检查和验收，其品种、规格、性能应符合设计和相关标准的要求。</w:t>
      </w:r>
    </w:p>
    <w:p w14:paraId="48E93B79">
      <w:pPr>
        <w:pStyle w:val="258"/>
        <w:tabs>
          <w:tab w:val="center" w:pos="4201"/>
          <w:tab w:val="right" w:leader="dot" w:pos="9298"/>
        </w:tabs>
        <w:ind w:firstLine="420"/>
        <w:rPr>
          <w:rFonts w:ascii="Times New Roman"/>
          <w:szCs w:val="22"/>
        </w:rPr>
      </w:pPr>
      <w:r>
        <w:rPr>
          <w:rFonts w:hint="eastAsia" w:ascii="Times New Roman"/>
          <w:szCs w:val="22"/>
        </w:rPr>
        <w:t>3.</w:t>
      </w:r>
      <w:r>
        <w:rPr>
          <w:rFonts w:ascii="Times New Roman"/>
          <w:szCs w:val="22"/>
        </w:rPr>
        <w:t>供暖与空调系统设备及施工所用材料进场时，应进行质量检查和验收，其类型、材质、性能、规格及外观应符合设计要求；对设备系统工程施工所用的保温绝热材料应进行施工现场取样复验，复验结果应符合设计要求；</w:t>
      </w:r>
    </w:p>
    <w:p w14:paraId="506B9EC6">
      <w:pPr>
        <w:pStyle w:val="258"/>
        <w:tabs>
          <w:tab w:val="center" w:pos="4201"/>
          <w:tab w:val="right" w:leader="dot" w:pos="9298"/>
        </w:tabs>
        <w:ind w:firstLine="420"/>
        <w:rPr>
          <w:rFonts w:ascii="Times New Roman"/>
          <w:szCs w:val="22"/>
        </w:rPr>
      </w:pPr>
      <w:r>
        <w:rPr>
          <w:rFonts w:hint="eastAsia" w:ascii="Times New Roman"/>
          <w:szCs w:val="22"/>
        </w:rPr>
        <w:t>4.</w:t>
      </w:r>
      <w:r>
        <w:rPr>
          <w:rFonts w:ascii="Times New Roman"/>
          <w:szCs w:val="22"/>
        </w:rPr>
        <w:t>照明设备进场时，应进行施工现场见证取样复验，复验结果应符合设计要求；</w:t>
      </w:r>
    </w:p>
    <w:p w14:paraId="5240F5F8">
      <w:pPr>
        <w:pStyle w:val="258"/>
        <w:tabs>
          <w:tab w:val="center" w:pos="4201"/>
          <w:tab w:val="right" w:leader="dot" w:pos="9298"/>
        </w:tabs>
        <w:ind w:firstLine="420"/>
        <w:rPr>
          <w:rFonts w:ascii="Times New Roman"/>
          <w:szCs w:val="22"/>
        </w:rPr>
      </w:pPr>
      <w:r>
        <w:rPr>
          <w:rFonts w:hint="eastAsia" w:ascii="Times New Roman"/>
          <w:szCs w:val="22"/>
        </w:rPr>
        <w:t>5.</w:t>
      </w:r>
      <w:r>
        <w:rPr>
          <w:rFonts w:ascii="Times New Roman"/>
          <w:szCs w:val="22"/>
        </w:rPr>
        <w:t>太阳能热利用或太阳能光伏发电系统设备进场时，应进行施工现场见证取样复验，复验结果应符合设计要求。</w:t>
      </w:r>
    </w:p>
    <w:p w14:paraId="45007CA8">
      <w:pPr>
        <w:pStyle w:val="277"/>
        <w:numPr>
          <w:ilvl w:val="2"/>
          <w:numId w:val="45"/>
        </w:numPr>
        <w:spacing w:before="0" w:beforeLines="0" w:after="0" w:afterLines="0"/>
        <w:rPr>
          <w:rFonts w:eastAsia="宋体"/>
        </w:rPr>
      </w:pPr>
      <w:r>
        <w:rPr>
          <w:rFonts w:eastAsia="宋体"/>
        </w:rPr>
        <w:t xml:space="preserve">各道工序之间应进行交接检验，上道工序合格后方可进行下道工序，并做好隐蔽工程记录和影像资料，隐蔽工程检查应包含以下内容： </w:t>
      </w:r>
    </w:p>
    <w:p w14:paraId="0223B85D">
      <w:pPr>
        <w:pStyle w:val="258"/>
        <w:tabs>
          <w:tab w:val="center" w:pos="4201"/>
          <w:tab w:val="right" w:leader="dot" w:pos="9298"/>
        </w:tabs>
        <w:ind w:firstLine="420"/>
        <w:rPr>
          <w:rFonts w:ascii="Times New Roman"/>
          <w:szCs w:val="22"/>
        </w:rPr>
      </w:pPr>
      <w:r>
        <w:rPr>
          <w:rFonts w:hint="eastAsia" w:ascii="Times New Roman"/>
          <w:szCs w:val="22"/>
        </w:rPr>
        <w:t>1.</w:t>
      </w:r>
      <w:r>
        <w:rPr>
          <w:rFonts w:ascii="Times New Roman"/>
          <w:szCs w:val="22"/>
        </w:rPr>
        <w:t xml:space="preserve">外墙基层及其表面处理、保温层的敷设方式、厚度和板材缝隙填充情况；锚固件安装与热桥处理；网格布铺设情况；穿墙管线保温密封处理等； </w:t>
      </w:r>
    </w:p>
    <w:p w14:paraId="10A6BA29">
      <w:pPr>
        <w:pStyle w:val="258"/>
        <w:tabs>
          <w:tab w:val="center" w:pos="4201"/>
          <w:tab w:val="right" w:leader="dot" w:pos="9298"/>
        </w:tabs>
        <w:ind w:firstLine="420"/>
        <w:rPr>
          <w:rFonts w:ascii="Times New Roman"/>
          <w:szCs w:val="22"/>
        </w:rPr>
      </w:pPr>
      <w:r>
        <w:rPr>
          <w:rFonts w:hint="eastAsia" w:ascii="Times New Roman"/>
          <w:szCs w:val="22"/>
        </w:rPr>
        <w:t>2.</w:t>
      </w:r>
      <w:r>
        <w:rPr>
          <w:rFonts w:ascii="Times New Roman"/>
          <w:szCs w:val="22"/>
        </w:rPr>
        <w:t xml:space="preserve">屋面、地面基层及其表面处理、保温层的敷设方式、厚度和板材缝隙填充质量；防水层（隔汽、透汽）设置；雨水口部位、出屋面管道、穿地面管道的处理等； </w:t>
      </w:r>
    </w:p>
    <w:p w14:paraId="002D8058">
      <w:pPr>
        <w:pStyle w:val="258"/>
        <w:tabs>
          <w:tab w:val="center" w:pos="4201"/>
          <w:tab w:val="right" w:leader="dot" w:pos="9298"/>
        </w:tabs>
        <w:ind w:firstLine="420"/>
        <w:rPr>
          <w:rFonts w:ascii="Times New Roman"/>
          <w:szCs w:val="22"/>
        </w:rPr>
      </w:pPr>
      <w:r>
        <w:rPr>
          <w:rFonts w:hint="eastAsia" w:ascii="Times New Roman"/>
          <w:szCs w:val="22"/>
        </w:rPr>
        <w:t>3.</w:t>
      </w:r>
      <w:r>
        <w:rPr>
          <w:rFonts w:ascii="Times New Roman"/>
          <w:szCs w:val="22"/>
        </w:rPr>
        <w:t xml:space="preserve">门窗、遮阳系统安装方式；门窗框与墙体结构缝的保温处理；窗框周边气密性处理，联结件与基层墙体间的断热桥措施等； </w:t>
      </w:r>
    </w:p>
    <w:p w14:paraId="04424025">
      <w:pPr>
        <w:pStyle w:val="258"/>
        <w:tabs>
          <w:tab w:val="center" w:pos="4201"/>
          <w:tab w:val="right" w:leader="dot" w:pos="9298"/>
        </w:tabs>
        <w:ind w:firstLine="420"/>
        <w:rPr>
          <w:rFonts w:ascii="Times New Roman"/>
          <w:szCs w:val="22"/>
        </w:rPr>
      </w:pPr>
      <w:r>
        <w:rPr>
          <w:rFonts w:hint="eastAsia" w:ascii="Times New Roman"/>
          <w:szCs w:val="22"/>
        </w:rPr>
        <w:t>4.</w:t>
      </w:r>
      <w:r>
        <w:rPr>
          <w:rFonts w:ascii="Times New Roman"/>
          <w:szCs w:val="22"/>
        </w:rPr>
        <w:t>女儿墙、窗框周边、封闭阳台、出挑构件、预埋支架等重点部位的施工做法。</w:t>
      </w:r>
    </w:p>
    <w:p w14:paraId="02BFFA4F">
      <w:pPr>
        <w:pStyle w:val="277"/>
        <w:numPr>
          <w:ilvl w:val="2"/>
          <w:numId w:val="45"/>
        </w:numPr>
        <w:spacing w:before="0" w:beforeLines="0" w:after="0" w:afterLines="0"/>
        <w:rPr>
          <w:rFonts w:eastAsia="宋体"/>
        </w:rPr>
      </w:pPr>
      <w:r>
        <w:rPr>
          <w:rFonts w:hint="eastAsia" w:eastAsia="宋体"/>
        </w:rPr>
        <w:t>建筑主体施工结束，门窗安装完毕，内外抹灰完成后，精装修施工开始前，应按本导则附录B进行建筑气密性检测，检测结果应满足本标准气密性指标要求。</w:t>
      </w:r>
    </w:p>
    <w:p w14:paraId="1E2392C3">
      <w:pPr>
        <w:pStyle w:val="277"/>
        <w:numPr>
          <w:ilvl w:val="2"/>
          <w:numId w:val="45"/>
        </w:numPr>
        <w:spacing w:before="0" w:beforeLines="0" w:after="0" w:afterLines="0"/>
        <w:rPr>
          <w:rFonts w:eastAsia="宋体"/>
        </w:rPr>
      </w:pPr>
      <w:r>
        <w:rPr>
          <w:rFonts w:hint="eastAsia" w:eastAsia="宋体"/>
        </w:rPr>
        <w:t>设备系统施工完成后，应进行联合试运转和调试，且节能性能检测达到设计要求。建筑竣工验收备案前应进行建筑能效测评。</w:t>
      </w:r>
    </w:p>
    <w:p w14:paraId="0C9109F5">
      <w:pPr>
        <w:pStyle w:val="259"/>
        <w:outlineLvl w:val="0"/>
        <w:rPr>
          <w:szCs w:val="22"/>
        </w:rPr>
      </w:pPr>
      <w:bookmarkStart w:id="44" w:name="_Toc2950928"/>
      <w:bookmarkStart w:id="45" w:name="_Toc14955"/>
      <w:r>
        <w:rPr>
          <w:szCs w:val="22"/>
        </w:rPr>
        <w:t>运行</w:t>
      </w:r>
      <w:r>
        <w:rPr>
          <w:rFonts w:hint="eastAsia"/>
          <w:szCs w:val="22"/>
        </w:rPr>
        <w:t>管理</w:t>
      </w:r>
      <w:bookmarkEnd w:id="44"/>
      <w:bookmarkEnd w:id="45"/>
    </w:p>
    <w:p w14:paraId="308ADB05">
      <w:pPr>
        <w:pStyle w:val="258"/>
        <w:numPr>
          <w:ilvl w:val="1"/>
          <w:numId w:val="46"/>
        </w:numPr>
        <w:ind w:firstLineChars="0"/>
        <w:outlineLvl w:val="1"/>
        <w:rPr>
          <w:rFonts w:ascii="黑体" w:hAnsi="黑体" w:eastAsia="黑体"/>
        </w:rPr>
      </w:pPr>
      <w:bookmarkStart w:id="46" w:name="_Toc2950929"/>
      <w:bookmarkStart w:id="47" w:name="_Toc7420"/>
      <w:r>
        <w:rPr>
          <w:rFonts w:hint="eastAsia" w:ascii="黑体" w:hAnsi="黑体" w:eastAsia="黑体"/>
        </w:rPr>
        <w:t>一般规定</w:t>
      </w:r>
      <w:bookmarkEnd w:id="46"/>
      <w:bookmarkEnd w:id="47"/>
    </w:p>
    <w:p w14:paraId="4DB7BBFD">
      <w:pPr>
        <w:pStyle w:val="277"/>
        <w:numPr>
          <w:ilvl w:val="2"/>
          <w:numId w:val="47"/>
        </w:numPr>
        <w:spacing w:before="0" w:beforeLines="0" w:after="0" w:afterLines="0"/>
        <w:rPr>
          <w:rFonts w:eastAsia="宋体"/>
        </w:rPr>
      </w:pPr>
      <w:r>
        <w:rPr>
          <w:rFonts w:hint="eastAsia" w:eastAsia="宋体"/>
        </w:rPr>
        <w:t>建筑交付运行后，运行管理单位应对公共区域和典型户室内环境指标与能耗数据进行监测记录，并根据使用情况优化运行</w:t>
      </w:r>
      <w:r>
        <w:rPr>
          <w:rFonts w:hint="eastAsia" w:eastAsia="宋体"/>
          <w:lang w:eastAsia="zh-CN"/>
        </w:rPr>
        <w:t>。</w:t>
      </w:r>
    </w:p>
    <w:p w14:paraId="6A824464">
      <w:pPr>
        <w:pStyle w:val="277"/>
        <w:numPr>
          <w:ilvl w:val="2"/>
          <w:numId w:val="47"/>
        </w:numPr>
        <w:spacing w:before="0" w:beforeLines="0" w:after="0" w:afterLines="0"/>
        <w:rPr>
          <w:rFonts w:eastAsia="宋体"/>
        </w:rPr>
      </w:pPr>
      <w:r>
        <w:rPr>
          <w:rFonts w:hint="eastAsia" w:eastAsia="宋体"/>
        </w:rPr>
        <w:t>运行管理单位应制定《用户使用手册》，并对用户进行相关注意事项的宣传和培训。</w:t>
      </w:r>
    </w:p>
    <w:p w14:paraId="597CCF97">
      <w:pPr>
        <w:pStyle w:val="258"/>
        <w:numPr>
          <w:ilvl w:val="1"/>
          <w:numId w:val="46"/>
        </w:numPr>
        <w:ind w:firstLineChars="0"/>
        <w:outlineLvl w:val="1"/>
        <w:rPr>
          <w:rFonts w:ascii="黑体" w:hAnsi="黑体" w:eastAsia="黑体"/>
        </w:rPr>
      </w:pPr>
      <w:bookmarkStart w:id="48" w:name="_Toc2950930"/>
      <w:bookmarkStart w:id="49" w:name="_Toc15257"/>
      <w:r>
        <w:rPr>
          <w:rFonts w:ascii="黑体" w:hAnsi="黑体" w:eastAsia="黑体"/>
        </w:rPr>
        <w:t>运行</w:t>
      </w:r>
      <w:r>
        <w:rPr>
          <w:rFonts w:hint="eastAsia" w:ascii="黑体" w:hAnsi="黑体" w:eastAsia="黑体"/>
        </w:rPr>
        <w:t>技术要求</w:t>
      </w:r>
      <w:bookmarkEnd w:id="48"/>
      <w:bookmarkEnd w:id="49"/>
    </w:p>
    <w:p w14:paraId="1FD061C1">
      <w:pPr>
        <w:pStyle w:val="277"/>
        <w:numPr>
          <w:ilvl w:val="2"/>
          <w:numId w:val="48"/>
        </w:numPr>
        <w:spacing w:before="0" w:beforeLines="0" w:after="0" w:afterLines="0"/>
        <w:rPr>
          <w:rFonts w:eastAsia="宋体"/>
        </w:rPr>
      </w:pPr>
      <w:r>
        <w:rPr>
          <w:rFonts w:eastAsia="宋体"/>
        </w:rPr>
        <w:t>应充分利用建筑的气候响应设计措施，在运行中利用自然条件改善室内环境，降低能源消耗：</w:t>
      </w:r>
    </w:p>
    <w:p w14:paraId="1578052B">
      <w:pPr>
        <w:pStyle w:val="258"/>
        <w:tabs>
          <w:tab w:val="center" w:pos="4201"/>
          <w:tab w:val="right" w:leader="dot" w:pos="9298"/>
        </w:tabs>
        <w:ind w:firstLine="420"/>
        <w:rPr>
          <w:rFonts w:ascii="Times New Roman"/>
          <w:szCs w:val="22"/>
        </w:rPr>
      </w:pPr>
      <w:r>
        <w:rPr>
          <w:rFonts w:ascii="Times New Roman"/>
          <w:szCs w:val="22"/>
        </w:rPr>
        <w:t>1.当室外温度处于舒适区域，并且空气质量较好时，应开窗通风，充分利用自然通风，避免开启机械通风及空调系统；</w:t>
      </w:r>
    </w:p>
    <w:p w14:paraId="49A1D7C8">
      <w:pPr>
        <w:pStyle w:val="258"/>
        <w:tabs>
          <w:tab w:val="center" w:pos="4201"/>
          <w:tab w:val="right" w:leader="dot" w:pos="9298"/>
        </w:tabs>
        <w:ind w:firstLine="420"/>
        <w:rPr>
          <w:rFonts w:ascii="Times New Roman"/>
          <w:szCs w:val="22"/>
        </w:rPr>
      </w:pPr>
      <w:r>
        <w:rPr>
          <w:rFonts w:ascii="Times New Roman"/>
          <w:szCs w:val="22"/>
        </w:rPr>
        <w:t>2.对于室内自然采光良好的区域，应加强照明控制系统的管理，充分利用自然光，减少照明灯具的开启。</w:t>
      </w:r>
    </w:p>
    <w:p w14:paraId="45BABDF9">
      <w:pPr>
        <w:pStyle w:val="277"/>
        <w:numPr>
          <w:ilvl w:val="2"/>
          <w:numId w:val="48"/>
        </w:numPr>
        <w:spacing w:before="0" w:beforeLines="0" w:after="0" w:afterLines="0"/>
        <w:rPr>
          <w:rFonts w:eastAsia="宋体"/>
        </w:rPr>
      </w:pPr>
      <w:r>
        <w:rPr>
          <w:rFonts w:eastAsia="宋体"/>
        </w:rPr>
        <w:t>超低能耗建筑构件的维护和保养应注意以下事项：</w:t>
      </w:r>
    </w:p>
    <w:p w14:paraId="1DBFA1AA">
      <w:pPr>
        <w:pStyle w:val="258"/>
        <w:tabs>
          <w:tab w:val="center" w:pos="4201"/>
          <w:tab w:val="right" w:leader="dot" w:pos="9298"/>
        </w:tabs>
        <w:ind w:firstLine="420"/>
        <w:rPr>
          <w:rFonts w:ascii="Times New Roman"/>
          <w:szCs w:val="22"/>
        </w:rPr>
      </w:pPr>
      <w:r>
        <w:rPr>
          <w:rFonts w:ascii="Times New Roman"/>
          <w:szCs w:val="22"/>
        </w:rPr>
        <w:t>1.外墙外保温系统的保护。应避免在外墙面上固定物体，保护外墙外保温系统完好；如必须固定，则必须采取防止热桥的措施；</w:t>
      </w:r>
    </w:p>
    <w:p w14:paraId="63CD8883">
      <w:pPr>
        <w:pStyle w:val="258"/>
        <w:tabs>
          <w:tab w:val="center" w:pos="4201"/>
          <w:tab w:val="right" w:leader="dot" w:pos="9298"/>
        </w:tabs>
        <w:ind w:firstLine="420"/>
        <w:rPr>
          <w:rFonts w:ascii="Times New Roman"/>
          <w:szCs w:val="22"/>
        </w:rPr>
      </w:pPr>
      <w:r>
        <w:rPr>
          <w:rFonts w:ascii="Times New Roman"/>
          <w:szCs w:val="22"/>
        </w:rPr>
        <w:t>2.建筑整体气密性保护。外墙内表面的抹灰层、屋面防水隔气层及外窗密封条是保证气密性的关键部位。物业部门应注意气密层是否遭到破坏，若有发生，则应及时修补；应经常检查外门窗密封条，必要时应及时更换；</w:t>
      </w:r>
    </w:p>
    <w:p w14:paraId="04240889">
      <w:pPr>
        <w:pStyle w:val="258"/>
        <w:tabs>
          <w:tab w:val="center" w:pos="4201"/>
          <w:tab w:val="right" w:leader="dot" w:pos="9298"/>
        </w:tabs>
        <w:ind w:firstLine="420"/>
        <w:rPr>
          <w:rFonts w:ascii="Times New Roman"/>
          <w:szCs w:val="22"/>
        </w:rPr>
      </w:pPr>
      <w:r>
        <w:rPr>
          <w:rFonts w:ascii="Times New Roman"/>
          <w:szCs w:val="22"/>
        </w:rPr>
        <w:t>3.门窗的维修保护。经常检查外门窗关闭是否严密；应定期检查门窗锁扣等五金部件是否松动及其磨损情况；每年应对活动部件和易磨损部分进行保养。</w:t>
      </w:r>
    </w:p>
    <w:p w14:paraId="021B58D1">
      <w:pPr>
        <w:pStyle w:val="277"/>
        <w:numPr>
          <w:ilvl w:val="2"/>
          <w:numId w:val="48"/>
        </w:numPr>
        <w:spacing w:before="0" w:beforeLines="0" w:after="0" w:afterLines="0"/>
        <w:rPr>
          <w:rFonts w:eastAsia="宋体"/>
        </w:rPr>
      </w:pPr>
      <w:r>
        <w:rPr>
          <w:rFonts w:eastAsia="宋体"/>
        </w:rPr>
        <w:t>超低能耗建筑供暖</w:t>
      </w:r>
      <w:r>
        <w:rPr>
          <w:rFonts w:hint="eastAsia" w:eastAsia="宋体"/>
        </w:rPr>
        <w:t>通风</w:t>
      </w:r>
      <w:r>
        <w:rPr>
          <w:rFonts w:eastAsia="宋体"/>
        </w:rPr>
        <w:t>空调系统的运行管理除应符合国家现行标准《空调通风系统运行管理规范》GB50365的要求外，还应注意以下事项：</w:t>
      </w:r>
    </w:p>
    <w:p w14:paraId="79C39BD8">
      <w:pPr>
        <w:pStyle w:val="258"/>
        <w:tabs>
          <w:tab w:val="center" w:pos="4201"/>
          <w:tab w:val="right" w:leader="dot" w:pos="9298"/>
        </w:tabs>
        <w:ind w:firstLine="420"/>
        <w:rPr>
          <w:rFonts w:ascii="Times New Roman"/>
          <w:szCs w:val="22"/>
        </w:rPr>
      </w:pPr>
      <w:r>
        <w:rPr>
          <w:rFonts w:hint="eastAsia" w:ascii="Times New Roman"/>
          <w:szCs w:val="22"/>
        </w:rPr>
        <w:t>1. 当室外温湿度和空气质量适宜时，应通过提高新风供应比例等方式，最大限度利用新风排出室内余热余湿；</w:t>
      </w:r>
    </w:p>
    <w:p w14:paraId="65712E60">
      <w:pPr>
        <w:pStyle w:val="258"/>
        <w:tabs>
          <w:tab w:val="center" w:pos="4201"/>
          <w:tab w:val="right" w:leader="dot" w:pos="9298"/>
        </w:tabs>
        <w:ind w:firstLine="420"/>
        <w:rPr>
          <w:rFonts w:ascii="Times New Roman"/>
          <w:szCs w:val="22"/>
        </w:rPr>
      </w:pPr>
      <w:r>
        <w:rPr>
          <w:rFonts w:hint="eastAsia" w:ascii="Times New Roman"/>
          <w:szCs w:val="22"/>
        </w:rPr>
        <w:t>2.应保证新风热回收装置的旁通功能运行正常，在室内外温差（焓差）条件不佳时，可以自动开启旁通功能；</w:t>
      </w:r>
    </w:p>
    <w:p w14:paraId="3DE22BF5">
      <w:pPr>
        <w:pStyle w:val="258"/>
        <w:tabs>
          <w:tab w:val="center" w:pos="4201"/>
          <w:tab w:val="right" w:leader="dot" w:pos="9298"/>
        </w:tabs>
        <w:ind w:firstLine="420"/>
        <w:rPr>
          <w:rFonts w:ascii="Times New Roman"/>
          <w:szCs w:val="22"/>
        </w:rPr>
      </w:pPr>
      <w:r>
        <w:rPr>
          <w:rFonts w:hint="eastAsia" w:ascii="Times New Roman"/>
          <w:szCs w:val="22"/>
        </w:rPr>
        <w:t>3.应根据送风系统过滤器两侧压差变化及时更换过滤装置；</w:t>
      </w:r>
    </w:p>
    <w:p w14:paraId="6DBFD092">
      <w:pPr>
        <w:pStyle w:val="258"/>
        <w:tabs>
          <w:tab w:val="center" w:pos="4201"/>
          <w:tab w:val="right" w:leader="dot" w:pos="9298"/>
        </w:tabs>
        <w:ind w:firstLine="420"/>
        <w:rPr>
          <w:sz w:val="24"/>
        </w:rPr>
      </w:pPr>
      <w:r>
        <w:rPr>
          <w:rFonts w:ascii="Times New Roman"/>
          <w:szCs w:val="22"/>
        </w:rPr>
        <w:t>4.每两年需检查一次新风系统的热回收装置，如需更换，应及时更换，保证热回收效率。</w:t>
      </w:r>
    </w:p>
    <w:p w14:paraId="40468A86">
      <w:pPr>
        <w:pStyle w:val="277"/>
        <w:numPr>
          <w:ilvl w:val="2"/>
          <w:numId w:val="48"/>
        </w:numPr>
        <w:spacing w:before="0" w:beforeLines="0" w:after="0" w:afterLines="0"/>
        <w:rPr>
          <w:rFonts w:eastAsia="宋体"/>
        </w:rPr>
      </w:pPr>
      <w:r>
        <w:rPr>
          <w:rFonts w:hint="eastAsia" w:eastAsia="宋体"/>
        </w:rPr>
        <w:t>超低能耗建筑</w:t>
      </w:r>
      <w:r>
        <w:rPr>
          <w:rFonts w:eastAsia="宋体"/>
        </w:rPr>
        <w:t>应在正式投入使用的第一个年度进行建筑能源系统调适。系统调适应满足下列要求：</w:t>
      </w:r>
    </w:p>
    <w:p w14:paraId="7C3B7FC4">
      <w:pPr>
        <w:pStyle w:val="258"/>
        <w:tabs>
          <w:tab w:val="center" w:pos="4201"/>
          <w:tab w:val="right" w:leader="dot" w:pos="9298"/>
        </w:tabs>
        <w:ind w:firstLine="420"/>
        <w:rPr>
          <w:rFonts w:ascii="Times New Roman"/>
          <w:szCs w:val="22"/>
        </w:rPr>
      </w:pPr>
      <w:r>
        <w:rPr>
          <w:rFonts w:hint="eastAsia" w:ascii="Times New Roman"/>
          <w:szCs w:val="22"/>
        </w:rPr>
        <w:t>1.</w:t>
      </w:r>
      <w:r>
        <w:rPr>
          <w:rFonts w:ascii="Times New Roman"/>
          <w:szCs w:val="22"/>
        </w:rPr>
        <w:t>应覆盖主要的季节性工况和部分负荷工况；</w:t>
      </w:r>
    </w:p>
    <w:p w14:paraId="2DFEE7BC">
      <w:pPr>
        <w:pStyle w:val="258"/>
        <w:tabs>
          <w:tab w:val="center" w:pos="4201"/>
          <w:tab w:val="right" w:leader="dot" w:pos="9298"/>
        </w:tabs>
        <w:ind w:firstLine="420"/>
        <w:rPr>
          <w:rFonts w:ascii="Times New Roman"/>
          <w:szCs w:val="22"/>
        </w:rPr>
      </w:pPr>
      <w:r>
        <w:rPr>
          <w:rFonts w:hint="eastAsia" w:ascii="Times New Roman"/>
          <w:szCs w:val="22"/>
        </w:rPr>
        <w:t>2.</w:t>
      </w:r>
      <w:r>
        <w:rPr>
          <w:rFonts w:ascii="Times New Roman"/>
          <w:szCs w:val="22"/>
        </w:rPr>
        <w:t>应覆盖中控系统及所有联动工作的用能系统和建筑构件；</w:t>
      </w:r>
    </w:p>
    <w:p w14:paraId="65A2FACC">
      <w:pPr>
        <w:pStyle w:val="258"/>
        <w:tabs>
          <w:tab w:val="center" w:pos="4201"/>
          <w:tab w:val="right" w:leader="dot" w:pos="9298"/>
        </w:tabs>
        <w:ind w:firstLine="420"/>
        <w:rPr>
          <w:rFonts w:hint="eastAsia" w:ascii="Times New Roman"/>
          <w:szCs w:val="22"/>
          <w:lang w:eastAsia="zh-CN"/>
        </w:rPr>
      </w:pPr>
      <w:r>
        <w:rPr>
          <w:rFonts w:hint="eastAsia" w:ascii="Times New Roman"/>
          <w:szCs w:val="22"/>
        </w:rPr>
        <w:t>3.</w:t>
      </w:r>
      <w:r>
        <w:rPr>
          <w:rFonts w:hint="eastAsia" w:ascii="Times New Roman"/>
          <w:szCs w:val="22"/>
          <w:lang w:val="en-US" w:eastAsia="zh-CN"/>
        </w:rPr>
        <w:t>应</w:t>
      </w:r>
      <w:r>
        <w:rPr>
          <w:rFonts w:ascii="Times New Roman"/>
          <w:szCs w:val="22"/>
        </w:rPr>
        <w:t>从正式投入使用开始延续至第</w:t>
      </w:r>
      <w:r>
        <w:rPr>
          <w:rFonts w:hint="eastAsia" w:ascii="Times New Roman"/>
          <w:szCs w:val="22"/>
          <w:lang w:val="en-US" w:eastAsia="zh-CN"/>
        </w:rPr>
        <w:t>一</w:t>
      </w:r>
      <w:r>
        <w:rPr>
          <w:rFonts w:ascii="Times New Roman"/>
          <w:szCs w:val="22"/>
        </w:rPr>
        <w:t>个完整年度结束</w:t>
      </w:r>
      <w:r>
        <w:rPr>
          <w:rFonts w:hint="eastAsia" w:ascii="Times New Roman"/>
          <w:szCs w:val="22"/>
          <w:lang w:eastAsia="zh-CN"/>
        </w:rPr>
        <w:t>；</w:t>
      </w:r>
    </w:p>
    <w:p w14:paraId="2EDD4E12">
      <w:pPr>
        <w:pStyle w:val="258"/>
        <w:tabs>
          <w:tab w:val="center" w:pos="4201"/>
          <w:tab w:val="right" w:leader="dot" w:pos="9298"/>
        </w:tabs>
        <w:ind w:firstLine="420"/>
        <w:rPr>
          <w:rFonts w:hint="default" w:ascii="Times New Roman"/>
          <w:szCs w:val="22"/>
          <w:lang w:val="en-US" w:eastAsia="zh-CN"/>
        </w:rPr>
      </w:pPr>
      <w:r>
        <w:rPr>
          <w:rFonts w:hint="eastAsia" w:ascii="Times New Roman"/>
          <w:szCs w:val="22"/>
          <w:lang w:val="en-US" w:eastAsia="zh-CN"/>
        </w:rPr>
        <w:t>4.建筑使用过程中，当建筑使用功能发生重大改变，或对用能系统进行改造后，应在建筑恢复使用的第一个年度重新进行系统调适。</w:t>
      </w:r>
    </w:p>
    <w:p w14:paraId="6B6ECB0B">
      <w:pPr>
        <w:pStyle w:val="277"/>
        <w:numPr>
          <w:ilvl w:val="2"/>
          <w:numId w:val="48"/>
        </w:numPr>
        <w:spacing w:before="0" w:beforeLines="0" w:after="0" w:afterLines="0"/>
        <w:rPr>
          <w:rFonts w:eastAsia="宋体"/>
        </w:rPr>
      </w:pPr>
      <w:r>
        <w:rPr>
          <w:rFonts w:hint="eastAsia" w:eastAsia="宋体"/>
        </w:rPr>
        <w:t>超低能耗建筑运行参数的记录和数据分析应符合下列要求：</w:t>
      </w:r>
    </w:p>
    <w:p w14:paraId="7F3B6B6E">
      <w:pPr>
        <w:pStyle w:val="258"/>
        <w:tabs>
          <w:tab w:val="center" w:pos="4201"/>
          <w:tab w:val="right" w:leader="dot" w:pos="9298"/>
        </w:tabs>
        <w:ind w:firstLine="420"/>
        <w:rPr>
          <w:rFonts w:ascii="Times New Roman"/>
          <w:szCs w:val="22"/>
        </w:rPr>
      </w:pPr>
      <w:r>
        <w:rPr>
          <w:rFonts w:hint="eastAsia" w:ascii="Times New Roman"/>
          <w:szCs w:val="22"/>
        </w:rPr>
        <w:t>1.</w:t>
      </w:r>
      <w:r>
        <w:rPr>
          <w:rFonts w:ascii="Times New Roman"/>
          <w:szCs w:val="22"/>
        </w:rPr>
        <w:t>除对各项能耗数据的记录要求外，还应记录建筑同期的人员使用情况、室外环境参数等建筑运行信息；</w:t>
      </w:r>
    </w:p>
    <w:p w14:paraId="35264377">
      <w:pPr>
        <w:pStyle w:val="258"/>
        <w:tabs>
          <w:tab w:val="center" w:pos="4201"/>
          <w:tab w:val="right" w:leader="dot" w:pos="9298"/>
        </w:tabs>
        <w:ind w:firstLine="420"/>
        <w:rPr>
          <w:rFonts w:ascii="Times New Roman"/>
          <w:szCs w:val="22"/>
        </w:rPr>
      </w:pPr>
      <w:r>
        <w:rPr>
          <w:rFonts w:hint="eastAsia" w:ascii="Times New Roman"/>
          <w:szCs w:val="22"/>
        </w:rPr>
        <w:t>2.</w:t>
      </w:r>
      <w:r>
        <w:rPr>
          <w:rFonts w:ascii="Times New Roman"/>
          <w:szCs w:val="22"/>
        </w:rPr>
        <w:t>应每年根据建筑的能耗数据、建筑的使用情况记录和气象数据，对建筑的年度运行情况进行分析，及时调整运行策略或使用方式</w:t>
      </w:r>
      <w:r>
        <w:rPr>
          <w:rFonts w:hint="eastAsia" w:ascii="Times New Roman"/>
          <w:szCs w:val="22"/>
        </w:rPr>
        <w:t>。</w:t>
      </w:r>
    </w:p>
    <w:p w14:paraId="452DE858">
      <w:pPr>
        <w:pStyle w:val="277"/>
        <w:numPr>
          <w:ilvl w:val="2"/>
          <w:numId w:val="48"/>
        </w:numPr>
        <w:spacing w:before="0" w:beforeLines="0" w:after="0" w:afterLines="0"/>
        <w:rPr>
          <w:rFonts w:eastAsia="宋体"/>
        </w:rPr>
      </w:pPr>
      <w:r>
        <w:rPr>
          <w:rFonts w:eastAsia="宋体"/>
        </w:rPr>
        <w:t>如果业主自行委托进行二次装修，物业管理单位应对装修单位进行施工培训，避免影响超低能耗建筑的围护结构及设备系统性能。</w:t>
      </w:r>
    </w:p>
    <w:p w14:paraId="2668FE24">
      <w:bookmarkStart w:id="50" w:name="_Toc2950935"/>
      <w:bookmarkStart w:id="51" w:name="_Toc20354"/>
      <w:r>
        <w:br w:type="page"/>
      </w:r>
    </w:p>
    <w:p w14:paraId="220A40D4">
      <w:pPr>
        <w:pStyle w:val="274"/>
        <w:numPr>
          <w:ilvl w:val="0"/>
          <w:numId w:val="49"/>
        </w:numPr>
        <w:spacing w:after="284"/>
      </w:pPr>
      <w:r>
        <w:br w:type="textWrapping"/>
      </w:r>
      <w:r>
        <w:rPr>
          <w:rFonts w:hint="eastAsia"/>
        </w:rPr>
        <w:t>（规范性）</w:t>
      </w:r>
      <w:r>
        <w:br w:type="textWrapping"/>
      </w:r>
      <w:r>
        <w:rPr>
          <w:rFonts w:hint="eastAsia"/>
        </w:rPr>
        <w:t>建筑能耗计算方法</w:t>
      </w:r>
      <w:bookmarkEnd w:id="50"/>
      <w:bookmarkEnd w:id="51"/>
    </w:p>
    <w:p w14:paraId="2B3FF10E">
      <w:pPr>
        <w:pStyle w:val="276"/>
        <w:numPr>
          <w:ilvl w:val="1"/>
          <w:numId w:val="49"/>
        </w:numPr>
        <w:tabs>
          <w:tab w:val="left" w:pos="360"/>
        </w:tabs>
        <w:spacing w:before="156" w:after="156"/>
      </w:pPr>
      <w:bookmarkStart w:id="52" w:name="_Toc2950936"/>
      <w:bookmarkStart w:id="53" w:name="_Toc31555"/>
      <w:r>
        <w:t>一般规定</w:t>
      </w:r>
      <w:bookmarkEnd w:id="52"/>
      <w:bookmarkEnd w:id="53"/>
    </w:p>
    <w:p w14:paraId="7947FDB3">
      <w:pPr>
        <w:pStyle w:val="362"/>
        <w:keepNext w:val="0"/>
        <w:keepLines w:val="0"/>
        <w:pageBreakBefore w:val="0"/>
        <w:widowControl w:val="0"/>
        <w:numPr>
          <w:ilvl w:val="0"/>
          <w:numId w:val="50"/>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color w:val="auto"/>
          <w:highlight w:val="none"/>
        </w:rPr>
      </w:pPr>
      <w:r>
        <w:rPr>
          <w:rStyle w:val="698"/>
          <w:rFonts w:hint="eastAsia" w:ascii="宋体" w:hAnsi="宋体" w:eastAsia="宋体" w:cs="宋体"/>
          <w:color w:val="auto"/>
          <w:highlight w:val="none"/>
        </w:rPr>
        <w:t xml:space="preserve">  </w:t>
      </w:r>
      <w:r>
        <w:rPr>
          <w:rStyle w:val="698"/>
          <w:rFonts w:hint="eastAsia" w:ascii="宋体" w:hAnsi="宋体" w:eastAsia="宋体" w:cs="宋体"/>
          <w:color w:val="auto"/>
          <w:highlight w:val="none"/>
          <w:lang w:val="en-US" w:eastAsia="zh-CN"/>
        </w:rPr>
        <w:t>能效指标计算</w:t>
      </w:r>
      <w:r>
        <w:rPr>
          <w:rStyle w:val="698"/>
          <w:rFonts w:hint="eastAsia" w:ascii="宋体" w:hAnsi="宋体" w:eastAsia="宋体" w:cs="宋体"/>
          <w:color w:val="auto"/>
          <w:highlight w:val="none"/>
        </w:rPr>
        <w:t>软件应</w:t>
      </w:r>
      <w:r>
        <w:rPr>
          <w:rStyle w:val="698"/>
          <w:rFonts w:hint="eastAsia" w:ascii="宋体" w:hAnsi="宋体" w:eastAsia="宋体" w:cs="宋体"/>
          <w:color w:val="auto"/>
          <w:highlight w:val="none"/>
          <w:lang w:val="en-US" w:eastAsia="zh-CN"/>
        </w:rPr>
        <w:t>具备下列功能</w:t>
      </w:r>
      <w:r>
        <w:rPr>
          <w:rStyle w:val="698"/>
          <w:rFonts w:hint="eastAsia" w:ascii="宋体" w:hAnsi="宋体" w:eastAsia="宋体" w:cs="宋体"/>
          <w:color w:val="auto"/>
          <w:highlight w:val="none"/>
        </w:rPr>
        <w:t>：</w:t>
      </w:r>
    </w:p>
    <w:p w14:paraId="0566AF26">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采用逐时动态计算方法，具备全年</w:t>
      </w:r>
      <w:r>
        <w:rPr>
          <w:rStyle w:val="698"/>
          <w:rFonts w:hint="default" w:ascii="Times New Roman" w:hAnsi="Times New Roman" w:eastAsia="宋体" w:cs="Times New Roman"/>
          <w:color w:val="auto"/>
          <w:highlight w:val="none"/>
          <w:lang w:val="en-US" w:eastAsia="zh-CN"/>
        </w:rPr>
        <w:t>8760</w:t>
      </w:r>
      <w:r>
        <w:rPr>
          <w:rStyle w:val="698"/>
          <w:rFonts w:hint="eastAsia" w:ascii="宋体" w:hAnsi="宋体" w:eastAsia="宋体" w:cs="宋体"/>
          <w:color w:val="auto"/>
          <w:highlight w:val="none"/>
          <w:lang w:val="en-US" w:eastAsia="zh-CN"/>
        </w:rPr>
        <w:t>小时逐时负荷计算功能；</w:t>
      </w:r>
    </w:p>
    <w:p w14:paraId="66015E18">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能计算围护结构（包括热桥部位）传热、太阳辐射得热、建筑内部得热、通风热损失四部分形成的负荷，计算中应能考虑建筑热惰性对负荷的影响；</w:t>
      </w:r>
    </w:p>
    <w:p w14:paraId="5F76A4B1">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能计算</w:t>
      </w:r>
      <w:r>
        <w:rPr>
          <w:rStyle w:val="698"/>
          <w:rFonts w:hint="default" w:ascii="Times New Roman" w:hAnsi="Times New Roman" w:eastAsia="宋体" w:cs="Times New Roman"/>
          <w:color w:val="auto"/>
          <w:highlight w:val="none"/>
          <w:lang w:val="en-US" w:eastAsia="zh-CN"/>
        </w:rPr>
        <w:t>10</w:t>
      </w:r>
      <w:r>
        <w:rPr>
          <w:rStyle w:val="698"/>
          <w:rFonts w:hint="eastAsia" w:ascii="宋体" w:hAnsi="宋体" w:eastAsia="宋体" w:cs="宋体"/>
          <w:color w:val="auto"/>
          <w:highlight w:val="none"/>
          <w:lang w:val="en-US" w:eastAsia="zh-CN"/>
        </w:rPr>
        <w:t>个以上的建筑分区；</w:t>
      </w:r>
    </w:p>
    <w:p w14:paraId="2CD5B602">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能计算建筑供暖、通风、空调、照明、生活热水、电梯系统的能耗和可再生能源系统利用量；</w:t>
      </w:r>
    </w:p>
    <w:p w14:paraId="0BB67002">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能设置渗漏换气量或换气次数，能计算气密性对建筑能耗的影响；</w:t>
      </w:r>
    </w:p>
    <w:p w14:paraId="719A6B25">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能计算新风热回收和外遮阳对建筑能耗的影响；</w:t>
      </w:r>
    </w:p>
    <w:p w14:paraId="10276F4C">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可分别设置逐时工作日和节假日室内人员数量、照明功率、电气设备功率、室内温度、供暖和空调系统运行时间；</w:t>
      </w:r>
    </w:p>
    <w:p w14:paraId="3B06E17B">
      <w:pPr>
        <w:pStyle w:val="362"/>
        <w:numPr>
          <w:ilvl w:val="0"/>
          <w:numId w:val="51"/>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软件可以输出全年逐时负荷以及全年能耗数据。</w:t>
      </w:r>
    </w:p>
    <w:p w14:paraId="281F0549">
      <w:pPr>
        <w:pStyle w:val="362"/>
        <w:keepNext w:val="0"/>
        <w:keepLines w:val="0"/>
        <w:pageBreakBefore w:val="0"/>
        <w:widowControl w:val="0"/>
        <w:numPr>
          <w:ilvl w:val="0"/>
          <w:numId w:val="50"/>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color w:val="auto"/>
          <w:highlight w:val="none"/>
        </w:rPr>
      </w:pPr>
      <w:r>
        <w:rPr>
          <w:rStyle w:val="698"/>
          <w:rFonts w:hint="eastAsia" w:ascii="宋体" w:hAnsi="宋体" w:eastAsia="宋体" w:cs="宋体"/>
          <w:color w:val="auto"/>
          <w:highlight w:val="none"/>
          <w:lang w:val="en-US" w:eastAsia="zh-CN"/>
        </w:rPr>
        <w:t xml:space="preserve">  能效指标的计算应符合下列规定</w:t>
      </w:r>
      <w:r>
        <w:rPr>
          <w:rStyle w:val="698"/>
          <w:rFonts w:hint="eastAsia" w:ascii="宋体" w:hAnsi="宋体" w:eastAsia="宋体" w:cs="宋体"/>
          <w:color w:val="auto"/>
          <w:highlight w:val="none"/>
        </w:rPr>
        <w:t>：</w:t>
      </w:r>
    </w:p>
    <w:p w14:paraId="752BF20F">
      <w:pPr>
        <w:pStyle w:val="362"/>
        <w:numPr>
          <w:ilvl w:val="0"/>
          <w:numId w:val="52"/>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气象参数应按现行行业标准《建筑节能气象参数标准》</w:t>
      </w:r>
      <w:r>
        <w:rPr>
          <w:rStyle w:val="698"/>
          <w:rFonts w:hint="default" w:ascii="Times New Roman" w:hAnsi="Times New Roman" w:eastAsia="宋体" w:cs="Times New Roman"/>
          <w:color w:val="auto"/>
          <w:highlight w:val="none"/>
          <w:lang w:val="en-US" w:eastAsia="zh-CN"/>
        </w:rPr>
        <w:t>JGJ/T 346</w:t>
      </w:r>
      <w:r>
        <w:rPr>
          <w:rStyle w:val="698"/>
          <w:rFonts w:hint="eastAsia" w:ascii="宋体" w:hAnsi="宋体" w:eastAsia="宋体" w:cs="宋体"/>
          <w:color w:val="auto"/>
          <w:highlight w:val="none"/>
          <w:lang w:val="en-US" w:eastAsia="zh-CN"/>
        </w:rPr>
        <w:t>的规定选取。</w:t>
      </w:r>
    </w:p>
    <w:p w14:paraId="797D8668">
      <w:pPr>
        <w:pStyle w:val="362"/>
        <w:numPr>
          <w:ilvl w:val="0"/>
          <w:numId w:val="52"/>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供暖年耗热量和供冷年耗冷量应包括围护结构的热损失和处理新风的热（或冷）需求；处理新风的热（冷）需求应扣除从排风中回收的热量（或冷量）。</w:t>
      </w:r>
    </w:p>
    <w:p w14:paraId="640E3173">
      <w:pPr>
        <w:pStyle w:val="362"/>
        <w:numPr>
          <w:ilvl w:val="0"/>
          <w:numId w:val="52"/>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当室外温度≤</w:t>
      </w:r>
      <w:r>
        <w:rPr>
          <w:rStyle w:val="698"/>
          <w:rFonts w:hint="default" w:ascii="Times New Roman" w:hAnsi="Times New Roman" w:eastAsia="宋体" w:cs="Times New Roman"/>
          <w:color w:val="auto"/>
          <w:highlight w:val="none"/>
          <w:lang w:val="en-US" w:eastAsia="zh-CN"/>
        </w:rPr>
        <w:t>28℃</w:t>
      </w:r>
      <w:r>
        <w:rPr>
          <w:rStyle w:val="698"/>
          <w:rFonts w:hint="eastAsia" w:ascii="宋体" w:hAnsi="宋体" w:eastAsia="宋体" w:cs="宋体"/>
          <w:color w:val="auto"/>
          <w:highlight w:val="none"/>
          <w:lang w:val="en-US" w:eastAsia="zh-CN"/>
        </w:rPr>
        <w:t>且相对湿度≤</w:t>
      </w:r>
      <w:r>
        <w:rPr>
          <w:rStyle w:val="698"/>
          <w:rFonts w:hint="default" w:ascii="Times New Roman" w:hAnsi="Times New Roman" w:eastAsia="宋体" w:cs="Times New Roman"/>
          <w:color w:val="auto"/>
          <w:highlight w:val="none"/>
          <w:lang w:val="en-US" w:eastAsia="zh-CN"/>
        </w:rPr>
        <w:t>70%</w:t>
      </w:r>
      <w:r>
        <w:rPr>
          <w:rStyle w:val="698"/>
          <w:rFonts w:hint="eastAsia" w:ascii="宋体" w:hAnsi="宋体" w:eastAsia="宋体" w:cs="宋体"/>
          <w:color w:val="auto"/>
          <w:highlight w:val="none"/>
          <w:lang w:val="en-US" w:eastAsia="zh-CN"/>
        </w:rPr>
        <w:t>时，应利用自然通风，不计算建筑的供冷需求。</w:t>
      </w:r>
    </w:p>
    <w:p w14:paraId="4EAC9423">
      <w:pPr>
        <w:pStyle w:val="362"/>
        <w:numPr>
          <w:ilvl w:val="0"/>
          <w:numId w:val="52"/>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供暖通风空调系统能耗计算时，应能考虑部分负荷及间歇使用的影响。</w:t>
      </w:r>
    </w:p>
    <w:p w14:paraId="42B8862C">
      <w:pPr>
        <w:pStyle w:val="362"/>
        <w:numPr>
          <w:ilvl w:val="0"/>
          <w:numId w:val="52"/>
        </w:numPr>
        <w:overflowPunct w:val="0"/>
        <w:snapToGrid w:val="0"/>
        <w:spacing w:line="309" w:lineRule="exact"/>
        <w:ind w:left="0" w:leftChars="0" w:firstLine="420" w:firstLineChars="0"/>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照明能耗的计算应考虑天然采光和自动控制的影响。</w:t>
      </w:r>
    </w:p>
    <w:p w14:paraId="7F7D1D5A">
      <w:pPr>
        <w:pStyle w:val="362"/>
        <w:numPr>
          <w:ilvl w:val="0"/>
          <w:numId w:val="52"/>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应计算可再生能源利用量。</w:t>
      </w:r>
    </w:p>
    <w:p w14:paraId="08F528DE">
      <w:pPr>
        <w:pStyle w:val="362"/>
        <w:keepNext w:val="0"/>
        <w:keepLines w:val="0"/>
        <w:pageBreakBefore w:val="0"/>
        <w:widowControl w:val="0"/>
        <w:numPr>
          <w:ilvl w:val="0"/>
          <w:numId w:val="50"/>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设计建筑能效指标计算参数设置应</w:t>
      </w:r>
    </w:p>
    <w:p w14:paraId="72CC2638">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建筑的形状、大小、朝向、内部的空间划分和使用功能、建筑构造尺寸、建筑围护结构传热系数、做法、外窗（包括透光幕墙）太阳得热系数、窗墙面积比、屋面开窗面积应与建筑设计文件一致。</w:t>
      </w:r>
    </w:p>
    <w:p w14:paraId="6027D2E0">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建筑功能区除设计文件明确为非空调区外，均应按设置供暖和空气调节系统计算。</w:t>
      </w:r>
    </w:p>
    <w:p w14:paraId="7B24D31D">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建筑的空气调节和供暖系统运行时间、房间人员密度及在室率、电器设备功率密度及使用率、照明开启时间、活动遮阳装置遮阳系数按照现行国家标准《建筑节能与可再生能源利用通用规范》</w:t>
      </w:r>
      <w:r>
        <w:rPr>
          <w:rStyle w:val="698"/>
          <w:rFonts w:hint="default" w:ascii="Times New Roman" w:hAnsi="Times New Roman" w:eastAsia="宋体" w:cs="Times New Roman"/>
          <w:color w:val="auto"/>
          <w:highlight w:val="none"/>
          <w:lang w:val="en-US" w:eastAsia="zh-CN"/>
        </w:rPr>
        <w:t>GB55015</w:t>
      </w:r>
      <w:r>
        <w:rPr>
          <w:rStyle w:val="698"/>
          <w:rFonts w:hint="eastAsia" w:ascii="宋体" w:hAnsi="宋体" w:eastAsia="宋体" w:cs="宋体"/>
          <w:color w:val="auto"/>
          <w:highlight w:val="none"/>
          <w:lang w:val="en-US" w:eastAsia="zh-CN"/>
        </w:rPr>
        <w:t>附录</w:t>
      </w:r>
      <w:r>
        <w:rPr>
          <w:rStyle w:val="698"/>
          <w:rFonts w:hint="default" w:ascii="Times New Roman" w:hAnsi="Times New Roman" w:eastAsia="宋体" w:cs="Times New Roman"/>
          <w:color w:val="auto"/>
          <w:highlight w:val="none"/>
          <w:lang w:val="en-US" w:eastAsia="zh-CN"/>
        </w:rPr>
        <w:t>C</w:t>
      </w:r>
      <w:r>
        <w:rPr>
          <w:rStyle w:val="698"/>
          <w:rFonts w:hint="eastAsia" w:ascii="宋体" w:hAnsi="宋体" w:eastAsia="宋体" w:cs="宋体"/>
          <w:color w:val="auto"/>
          <w:highlight w:val="none"/>
          <w:lang w:val="en-US" w:eastAsia="zh-CN"/>
        </w:rPr>
        <w:t>执行。</w:t>
      </w:r>
    </w:p>
    <w:p w14:paraId="112D0814">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照明系统的照明功率密度值应与建筑设计文件一致。</w:t>
      </w:r>
    </w:p>
    <w:p w14:paraId="263E73C2">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供暖、通风、空调、生活热水、电梯系统的系统形式和能效应与设计文件一致。</w:t>
      </w:r>
    </w:p>
    <w:p w14:paraId="5224DCB7">
      <w:pPr>
        <w:pStyle w:val="362"/>
        <w:numPr>
          <w:ilvl w:val="0"/>
          <w:numId w:val="53"/>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可再生能源系统形式及效率应与设计文件一致。</w:t>
      </w:r>
    </w:p>
    <w:p w14:paraId="78C2C435">
      <w:pPr>
        <w:pStyle w:val="362"/>
        <w:keepNext w:val="0"/>
        <w:keepLines w:val="0"/>
        <w:pageBreakBefore w:val="0"/>
        <w:widowControl w:val="0"/>
        <w:numPr>
          <w:ilvl w:val="0"/>
          <w:numId w:val="50"/>
        </w:numPr>
        <w:kinsoku/>
        <w:wordWrap/>
        <w:overflowPunct/>
        <w:topLinePunct w:val="0"/>
        <w:autoSpaceDE/>
        <w:autoSpaceDN/>
        <w:bidi w:val="0"/>
        <w:adjustRightInd/>
        <w:snapToGrid w:val="0"/>
        <w:spacing w:line="309" w:lineRule="exact"/>
        <w:ind w:left="0" w:leftChars="0" w:firstLine="0" w:firstLineChars="0"/>
        <w:textAlignment w:val="auto"/>
        <w:outlineLvl w:val="2"/>
        <w:rPr>
          <w:rFonts w:ascii="宋体" w:hAnsi="宋体" w:cs="宋体"/>
          <w:color w:val="auto"/>
          <w:szCs w:val="21"/>
          <w:highlight w:val="none"/>
        </w:rPr>
      </w:pPr>
      <w:r>
        <w:rPr>
          <w:rFonts w:hint="eastAsia" w:ascii="宋体" w:hAnsi="宋体" w:cs="宋体"/>
          <w:color w:val="auto"/>
          <w:szCs w:val="21"/>
          <w:highlight w:val="none"/>
          <w:lang w:val="en-US" w:eastAsia="zh-CN"/>
        </w:rPr>
        <w:t xml:space="preserve">  基准建筑能耗指标计算应符合下列规定：</w:t>
      </w:r>
    </w:p>
    <w:p w14:paraId="384A0CF7">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Fonts w:hint="eastAsia" w:ascii="宋体" w:hAnsi="宋体" w:cs="宋体"/>
          <w:color w:val="auto"/>
          <w:szCs w:val="21"/>
          <w:highlight w:val="none"/>
          <w:lang w:val="en-US" w:eastAsia="zh-CN"/>
        </w:rPr>
        <w:t xml:space="preserve">  建筑的形状、大小内部的空间划分和使用功能、建筑构造、围护结构做法应与设计建筑一致。</w:t>
      </w:r>
    </w:p>
    <w:p w14:paraId="48B1A9BA">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Fonts w:hint="eastAsia" w:ascii="宋体" w:hAnsi="宋体" w:cs="宋体"/>
          <w:color w:val="auto"/>
          <w:szCs w:val="21"/>
          <w:highlight w:val="none"/>
          <w:lang w:val="en-US" w:eastAsia="zh-CN"/>
        </w:rPr>
        <w:t xml:space="preserve">  </w:t>
      </w:r>
      <w:r>
        <w:rPr>
          <w:rStyle w:val="698"/>
          <w:rFonts w:hint="eastAsia" w:ascii="宋体" w:hAnsi="宋体" w:eastAsia="宋体" w:cs="宋体"/>
          <w:color w:val="auto"/>
          <w:highlight w:val="none"/>
          <w:lang w:val="en-US" w:eastAsia="zh-CN"/>
        </w:rPr>
        <w:t>建筑的空气调节和供暖系统运行时间、室内温度、照明开关时间、电梯系统运行时间、房间人均占有的使用面积及在室率、人员新风量及新风机组运行时间表、电器设备功率密度及使用率应与设计建筑一致；照明功率密度值应按照现行国家标准《建筑节能与可再生能源利用通用规范》GB55015附录C执行。</w:t>
      </w:r>
    </w:p>
    <w:p w14:paraId="05794FF6">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Fonts w:hint="eastAsia" w:ascii="宋体" w:hAnsi="宋体" w:cs="宋体"/>
          <w:color w:val="auto"/>
          <w:szCs w:val="21"/>
          <w:highlight w:val="none"/>
          <w:lang w:val="en-US" w:eastAsia="zh-CN"/>
        </w:rPr>
        <w:t xml:space="preserve">  基准建筑围护结构热工性能和冷热源性能应按国家标准</w:t>
      </w:r>
      <w:r>
        <w:rPr>
          <w:rStyle w:val="698"/>
          <w:rFonts w:hint="eastAsia" w:ascii="宋体" w:hAnsi="宋体" w:eastAsia="宋体" w:cs="宋体"/>
          <w:color w:val="auto"/>
          <w:highlight w:val="none"/>
          <w:lang w:val="en-US" w:eastAsia="zh-CN"/>
        </w:rPr>
        <w:t>《建筑节能与可再生能源利用通用规范》GB55015规定值选取，未规定的</w:t>
      </w:r>
      <w:r>
        <w:rPr>
          <w:rFonts w:hint="eastAsia" w:ascii="宋体" w:hAnsi="宋体" w:cs="宋体"/>
          <w:color w:val="auto"/>
          <w:szCs w:val="21"/>
          <w:highlight w:val="none"/>
          <w:lang w:val="en-US" w:eastAsia="zh-CN"/>
        </w:rPr>
        <w:t>围护结构热工性能和冷热源性能的相关</w:t>
      </w:r>
      <w:r>
        <w:rPr>
          <w:rStyle w:val="698"/>
          <w:rFonts w:hint="eastAsia" w:ascii="宋体" w:hAnsi="宋体" w:eastAsia="宋体" w:cs="宋体"/>
          <w:color w:val="auto"/>
          <w:highlight w:val="none"/>
          <w:lang w:val="en-US" w:eastAsia="zh-CN"/>
        </w:rPr>
        <w:t>参数应与设计建筑一致。</w:t>
      </w:r>
    </w:p>
    <w:p w14:paraId="2C09FCA8">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按照设计建筑实际朝向建立基准建筑模型的计算负荷作为基准建筑负荷。</w:t>
      </w:r>
    </w:p>
    <w:p w14:paraId="75138A40">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基准建筑无活动遮阳装置，其窗墙面积比与设计建筑一致。</w:t>
      </w:r>
    </w:p>
    <w:p w14:paraId="480D5058">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基准建筑的供暖空调系统形式应依据设计建筑的系统形式按照表</w:t>
      </w:r>
      <w:r>
        <w:rPr>
          <w:rStyle w:val="698"/>
          <w:rFonts w:hint="default" w:ascii="Times New Roman" w:hAnsi="Times New Roman" w:eastAsia="宋体" w:cs="Times New Roman"/>
          <w:color w:val="auto"/>
          <w:highlight w:val="none"/>
          <w:lang w:val="en-US" w:eastAsia="zh-CN"/>
        </w:rPr>
        <w:t>4.1.4</w:t>
      </w:r>
      <w:r>
        <w:rPr>
          <w:rStyle w:val="698"/>
          <w:rFonts w:hint="eastAsia" w:ascii="宋体" w:hAnsi="宋体" w:eastAsia="宋体" w:cs="宋体"/>
          <w:color w:val="auto"/>
          <w:highlight w:val="none"/>
          <w:lang w:val="en-US" w:eastAsia="zh-CN"/>
        </w:rPr>
        <w:t>确定；基准建筑的生活热水系统形式和用水定额应与设计建筑一致。</w:t>
      </w:r>
    </w:p>
    <w:p w14:paraId="4D2B6688">
      <w:pPr>
        <w:pStyle w:val="362"/>
        <w:numPr>
          <w:ilvl w:val="0"/>
          <w:numId w:val="54"/>
        </w:numPr>
        <w:overflowPunct w:val="0"/>
        <w:snapToGrid w:val="0"/>
        <w:spacing w:line="309" w:lineRule="exact"/>
        <w:ind w:left="0" w:leftChars="0" w:firstLine="420" w:firstLineChars="0"/>
        <w:rPr>
          <w:rFonts w:ascii="宋体" w:hAnsi="宋体" w:cs="宋体"/>
          <w:color w:val="auto"/>
          <w:szCs w:val="21"/>
          <w:highlight w:val="none"/>
        </w:rPr>
      </w:pPr>
      <w:r>
        <w:rPr>
          <w:rStyle w:val="698"/>
          <w:rFonts w:hint="eastAsia" w:ascii="宋体" w:hAnsi="宋体" w:eastAsia="宋体" w:cs="宋体"/>
          <w:color w:val="auto"/>
          <w:highlight w:val="none"/>
          <w:lang w:val="en-US" w:eastAsia="zh-CN"/>
        </w:rPr>
        <w:t xml:space="preserve">  基准建筑的电梯系统形式、类型、台数、设计速度、额定载客人数应与设计建筑一致，电梯待机时的能量需求（输出）为</w:t>
      </w:r>
      <w:r>
        <w:rPr>
          <w:rStyle w:val="698"/>
          <w:rFonts w:hint="default" w:ascii="Times New Roman" w:hAnsi="Times New Roman" w:eastAsia="宋体" w:cs="Times New Roman"/>
          <w:color w:val="auto"/>
          <w:highlight w:val="none"/>
          <w:lang w:val="en-US" w:eastAsia="zh-CN"/>
        </w:rPr>
        <w:t>200W</w:t>
      </w:r>
      <w:r>
        <w:rPr>
          <w:rStyle w:val="698"/>
          <w:rFonts w:hint="eastAsia" w:ascii="宋体" w:hAnsi="宋体" w:eastAsia="宋体" w:cs="宋体"/>
          <w:color w:val="auto"/>
          <w:highlight w:val="none"/>
          <w:lang w:val="en-US" w:eastAsia="zh-CN"/>
        </w:rPr>
        <w:t>，运行时的特定能量消耗为</w:t>
      </w:r>
      <w:r>
        <w:rPr>
          <w:rStyle w:val="698"/>
          <w:rFonts w:hint="default" w:ascii="Times New Roman" w:hAnsi="Times New Roman" w:eastAsia="宋体" w:cs="Times New Roman"/>
          <w:color w:val="auto"/>
          <w:highlight w:val="none"/>
          <w:lang w:val="en-US" w:eastAsia="zh-CN"/>
        </w:rPr>
        <w:t>1.26mWh/（kg·m）</w:t>
      </w:r>
      <w:r>
        <w:rPr>
          <w:rStyle w:val="698"/>
          <w:rFonts w:hint="eastAsia" w:ascii="宋体" w:hAnsi="宋体" w:eastAsia="宋体" w:cs="宋体"/>
          <w:color w:val="auto"/>
          <w:highlight w:val="none"/>
          <w:lang w:val="en-US" w:eastAsia="zh-CN"/>
        </w:rPr>
        <w:t>。</w:t>
      </w:r>
    </w:p>
    <w:p w14:paraId="243FC178">
      <w:pPr>
        <w:pStyle w:val="258"/>
        <w:widowControl w:val="0"/>
        <w:overflowPunct w:val="0"/>
        <w:spacing w:before="62" w:beforeLines="20" w:after="78" w:afterLines="25" w:line="309" w:lineRule="exact"/>
        <w:ind w:firstLine="0" w:firstLineChars="0"/>
        <w:jc w:val="center"/>
        <w:rPr>
          <w:rFonts w:hint="default" w:ascii="宋体" w:hAnsi="宋体" w:eastAsia="黑体" w:cs="宋体"/>
          <w:color w:val="auto"/>
          <w:szCs w:val="21"/>
          <w:highlight w:val="none"/>
          <w:lang w:val="en-US" w:eastAsia="zh-CN"/>
        </w:rPr>
      </w:pPr>
      <w:r>
        <w:rPr>
          <w:rFonts w:ascii="黑体" w:hAnsi="黑体" w:eastAsia="黑体" w:cs="黑体"/>
          <w:color w:val="auto"/>
          <w:sz w:val="18"/>
          <w:szCs w:val="18"/>
          <w:highlight w:val="none"/>
        </w:rPr>
        <w:t>表</w:t>
      </w:r>
      <w:r>
        <w:rPr>
          <w:rFonts w:hint="eastAsia" w:ascii="黑体" w:hAnsi="黑体" w:eastAsia="黑体" w:cs="黑体"/>
          <w:color w:val="auto"/>
          <w:sz w:val="18"/>
          <w:szCs w:val="18"/>
          <w:highlight w:val="none"/>
          <w:lang w:val="en-US" w:eastAsia="zh-CN"/>
        </w:rPr>
        <w:t>A.1.4</w:t>
      </w:r>
      <w:r>
        <w:rPr>
          <w:rFonts w:ascii="黑体" w:hAnsi="黑体" w:eastAsia="黑体" w:cs="黑体"/>
          <w:color w:val="auto"/>
          <w:sz w:val="18"/>
          <w:szCs w:val="18"/>
          <w:highlight w:val="none"/>
        </w:rPr>
        <w:t xml:space="preserve">  </w:t>
      </w:r>
      <w:r>
        <w:rPr>
          <w:rFonts w:hint="eastAsia" w:ascii="黑体" w:hAnsi="黑体" w:eastAsia="黑体" w:cs="黑体"/>
          <w:color w:val="auto"/>
          <w:sz w:val="18"/>
          <w:szCs w:val="18"/>
          <w:highlight w:val="none"/>
          <w:lang w:val="en-US" w:eastAsia="zh-CN"/>
        </w:rPr>
        <w:t>基准建筑供暖供冷系统形式</w:t>
      </w:r>
    </w:p>
    <w:tbl>
      <w:tblPr>
        <w:tblStyle w:val="89"/>
        <w:tblW w:w="9347" w:type="dxa"/>
        <w:tblInd w:w="11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44"/>
        <w:gridCol w:w="4101"/>
        <w:gridCol w:w="4102"/>
      </w:tblGrid>
      <w:tr w14:paraId="0E4361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tcBorders>
              <w:right w:val="single" w:color="auto" w:sz="4" w:space="0"/>
              <w:tl2br w:val="nil"/>
              <w:tr2bl w:val="nil"/>
            </w:tcBorders>
            <w:vAlign w:val="center"/>
          </w:tcPr>
          <w:p w14:paraId="6C8A0D6D">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系统分类</w:t>
            </w:r>
          </w:p>
        </w:tc>
        <w:tc>
          <w:tcPr>
            <w:tcW w:w="4101" w:type="dxa"/>
            <w:tcBorders>
              <w:left w:val="single" w:color="auto" w:sz="4" w:space="0"/>
              <w:right w:val="single" w:color="auto" w:sz="4" w:space="0"/>
              <w:tl2br w:val="nil"/>
              <w:tr2bl w:val="nil"/>
            </w:tcBorders>
            <w:vAlign w:val="center"/>
          </w:tcPr>
          <w:p w14:paraId="0024A62A">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设计建筑</w:t>
            </w:r>
          </w:p>
        </w:tc>
        <w:tc>
          <w:tcPr>
            <w:tcW w:w="4102" w:type="dxa"/>
            <w:tcBorders>
              <w:left w:val="single" w:color="000000" w:sz="4" w:space="0"/>
              <w:tl2br w:val="nil"/>
              <w:tr2bl w:val="nil"/>
            </w:tcBorders>
            <w:vAlign w:val="center"/>
          </w:tcPr>
          <w:p w14:paraId="38C9F6E0">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基准建筑</w:t>
            </w:r>
          </w:p>
        </w:tc>
      </w:tr>
      <w:tr w14:paraId="004373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restart"/>
            <w:tcBorders>
              <w:right w:val="single" w:color="auto" w:sz="4" w:space="0"/>
              <w:tl2br w:val="nil"/>
              <w:tr2bl w:val="nil"/>
            </w:tcBorders>
            <w:vAlign w:val="center"/>
          </w:tcPr>
          <w:p w14:paraId="6E838531">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冷源</w:t>
            </w:r>
          </w:p>
        </w:tc>
        <w:tc>
          <w:tcPr>
            <w:tcW w:w="4101" w:type="dxa"/>
            <w:tcBorders>
              <w:left w:val="single" w:color="auto" w:sz="4" w:space="0"/>
              <w:bottom w:val="single" w:color="auto" w:sz="4" w:space="0"/>
              <w:right w:val="single" w:color="auto" w:sz="4" w:space="0"/>
              <w:tl2br w:val="nil"/>
              <w:tr2bl w:val="nil"/>
            </w:tcBorders>
            <w:vAlign w:val="center"/>
          </w:tcPr>
          <w:p w14:paraId="0E20D449">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离心式冷水机组</w:t>
            </w:r>
          </w:p>
        </w:tc>
        <w:tc>
          <w:tcPr>
            <w:tcW w:w="4102" w:type="dxa"/>
            <w:tcBorders>
              <w:left w:val="single" w:color="auto" w:sz="4" w:space="0"/>
              <w:bottom w:val="single" w:color="auto" w:sz="4" w:space="0"/>
            </w:tcBorders>
            <w:vAlign w:val="center"/>
          </w:tcPr>
          <w:p w14:paraId="2BB60F2A">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离心式冷水机组</w:t>
            </w:r>
          </w:p>
        </w:tc>
      </w:tr>
      <w:tr w14:paraId="4EB0D1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27554B46">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0044251C">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螺杆式冷水机组</w:t>
            </w:r>
          </w:p>
        </w:tc>
        <w:tc>
          <w:tcPr>
            <w:tcW w:w="4102" w:type="dxa"/>
            <w:tcBorders>
              <w:top w:val="single" w:color="auto" w:sz="4" w:space="0"/>
              <w:left w:val="single" w:color="auto" w:sz="4" w:space="0"/>
              <w:bottom w:val="single" w:color="auto" w:sz="4" w:space="0"/>
            </w:tcBorders>
            <w:vAlign w:val="center"/>
          </w:tcPr>
          <w:p w14:paraId="2F0055AF">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螺杆式冷水机组</w:t>
            </w:r>
          </w:p>
        </w:tc>
      </w:tr>
      <w:tr w14:paraId="7ACDEE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015B5CC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63F36FE5">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离心式+螺杆式冷水机组</w:t>
            </w:r>
          </w:p>
        </w:tc>
        <w:tc>
          <w:tcPr>
            <w:tcW w:w="4102" w:type="dxa"/>
            <w:tcBorders>
              <w:top w:val="single" w:color="auto" w:sz="4" w:space="0"/>
              <w:left w:val="single" w:color="auto" w:sz="4" w:space="0"/>
              <w:bottom w:val="single" w:color="auto" w:sz="4" w:space="0"/>
            </w:tcBorders>
            <w:vAlign w:val="center"/>
          </w:tcPr>
          <w:p w14:paraId="7E2855A5">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离心式+螺杆式冷水机组</w:t>
            </w:r>
          </w:p>
        </w:tc>
      </w:tr>
      <w:tr w14:paraId="794CDF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63054F58">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1EE23B80">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水源/地源热泵</w:t>
            </w:r>
          </w:p>
        </w:tc>
        <w:tc>
          <w:tcPr>
            <w:tcW w:w="4102" w:type="dxa"/>
            <w:tcBorders>
              <w:top w:val="single" w:color="auto" w:sz="4" w:space="0"/>
              <w:left w:val="single" w:color="auto" w:sz="4" w:space="0"/>
              <w:bottom w:val="single" w:color="auto" w:sz="4" w:space="0"/>
            </w:tcBorders>
            <w:vAlign w:val="center"/>
          </w:tcPr>
          <w:p w14:paraId="57B75841">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螺杆式冷水机组</w:t>
            </w:r>
          </w:p>
        </w:tc>
      </w:tr>
      <w:tr w14:paraId="0019BB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0CC855C9">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2485EA1B">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风冷热泵</w:t>
            </w:r>
          </w:p>
        </w:tc>
        <w:tc>
          <w:tcPr>
            <w:tcW w:w="4102" w:type="dxa"/>
            <w:tcBorders>
              <w:top w:val="single" w:color="auto" w:sz="4" w:space="0"/>
              <w:left w:val="single" w:color="auto" w:sz="4" w:space="0"/>
              <w:bottom w:val="single" w:color="auto" w:sz="4" w:space="0"/>
            </w:tcBorders>
            <w:vAlign w:val="center"/>
          </w:tcPr>
          <w:p w14:paraId="6776E00D">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风冷热泵</w:t>
            </w:r>
          </w:p>
        </w:tc>
      </w:tr>
      <w:tr w14:paraId="1BB739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5930216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19B7FD06">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吸收式制冷机组</w:t>
            </w:r>
          </w:p>
        </w:tc>
        <w:tc>
          <w:tcPr>
            <w:tcW w:w="4102" w:type="dxa"/>
            <w:tcBorders>
              <w:top w:val="single" w:color="auto" w:sz="4" w:space="0"/>
              <w:left w:val="single" w:color="auto" w:sz="4" w:space="0"/>
              <w:bottom w:val="single" w:color="auto" w:sz="4" w:space="0"/>
            </w:tcBorders>
            <w:vAlign w:val="center"/>
          </w:tcPr>
          <w:p w14:paraId="34DDAD8B">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吸收式制冷机组</w:t>
            </w:r>
          </w:p>
        </w:tc>
      </w:tr>
      <w:tr w14:paraId="5335FF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75B5E69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5730E600">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单元式空调机组、多联式空调（热泵）机组或风管送风式空调（热泵）机组</w:t>
            </w:r>
          </w:p>
        </w:tc>
        <w:tc>
          <w:tcPr>
            <w:tcW w:w="4102" w:type="dxa"/>
            <w:tcBorders>
              <w:top w:val="single" w:color="auto" w:sz="4" w:space="0"/>
              <w:left w:val="single" w:color="auto" w:sz="4" w:space="0"/>
              <w:bottom w:val="single" w:color="auto" w:sz="4" w:space="0"/>
            </w:tcBorders>
            <w:vAlign w:val="center"/>
          </w:tcPr>
          <w:p w14:paraId="084B2D9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单元式空调机组、多联式空调（热泵）机组或风管送风式空调（热泵）机组</w:t>
            </w:r>
          </w:p>
        </w:tc>
      </w:tr>
      <w:tr w14:paraId="77B58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bottom w:val="single" w:color="auto" w:sz="4" w:space="0"/>
              <w:right w:val="single" w:color="auto" w:sz="4" w:space="0"/>
              <w:tl2br w:val="nil"/>
              <w:tr2bl w:val="nil"/>
            </w:tcBorders>
            <w:vAlign w:val="center"/>
          </w:tcPr>
          <w:p w14:paraId="2FE0D1F7">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140791ED">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集中冷源</w:t>
            </w:r>
          </w:p>
        </w:tc>
        <w:tc>
          <w:tcPr>
            <w:tcW w:w="4102" w:type="dxa"/>
            <w:tcBorders>
              <w:top w:val="single" w:color="auto" w:sz="4" w:space="0"/>
              <w:left w:val="single" w:color="auto" w:sz="4" w:space="0"/>
              <w:bottom w:val="single" w:color="auto" w:sz="4" w:space="0"/>
            </w:tcBorders>
            <w:vAlign w:val="center"/>
          </w:tcPr>
          <w:p w14:paraId="4E4C850D">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离心式/螺杆式冷水机组</w:t>
            </w:r>
          </w:p>
        </w:tc>
      </w:tr>
      <w:tr w14:paraId="5EB1DC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restart"/>
            <w:tcBorders>
              <w:top w:val="single" w:color="auto" w:sz="4" w:space="0"/>
              <w:right w:val="single" w:color="auto" w:sz="4" w:space="0"/>
              <w:tl2br w:val="nil"/>
              <w:tr2bl w:val="nil"/>
            </w:tcBorders>
            <w:vAlign w:val="center"/>
          </w:tcPr>
          <w:p w14:paraId="2FBA45B5">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热源</w:t>
            </w: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3EF96335">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燃油锅炉</w:t>
            </w:r>
          </w:p>
        </w:tc>
        <w:tc>
          <w:tcPr>
            <w:tcW w:w="4102" w:type="dxa"/>
            <w:tcBorders>
              <w:top w:val="single" w:color="auto" w:sz="4" w:space="0"/>
              <w:left w:val="single" w:color="auto" w:sz="4" w:space="0"/>
              <w:bottom w:val="single" w:color="auto" w:sz="4" w:space="0"/>
            </w:tcBorders>
            <w:vAlign w:val="center"/>
          </w:tcPr>
          <w:p w14:paraId="655A329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燃油锅炉</w:t>
            </w:r>
          </w:p>
        </w:tc>
      </w:tr>
      <w:tr w14:paraId="528DA0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5A664060">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122525C0">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燃气锅炉</w:t>
            </w:r>
          </w:p>
        </w:tc>
        <w:tc>
          <w:tcPr>
            <w:tcW w:w="4102" w:type="dxa"/>
            <w:tcBorders>
              <w:top w:val="single" w:color="auto" w:sz="4" w:space="0"/>
              <w:left w:val="single" w:color="auto" w:sz="4" w:space="0"/>
              <w:bottom w:val="single" w:color="auto" w:sz="4" w:space="0"/>
            </w:tcBorders>
            <w:vAlign w:val="center"/>
          </w:tcPr>
          <w:p w14:paraId="67A18959">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燃气锅炉</w:t>
            </w:r>
          </w:p>
        </w:tc>
      </w:tr>
      <w:tr w14:paraId="6764B7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28B5C62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6E18DEE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风冷热泵</w:t>
            </w:r>
          </w:p>
        </w:tc>
        <w:tc>
          <w:tcPr>
            <w:tcW w:w="4102" w:type="dxa"/>
            <w:tcBorders>
              <w:top w:val="single" w:color="auto" w:sz="4" w:space="0"/>
              <w:left w:val="single" w:color="auto" w:sz="4" w:space="0"/>
              <w:bottom w:val="single" w:color="auto" w:sz="4" w:space="0"/>
            </w:tcBorders>
            <w:vAlign w:val="center"/>
          </w:tcPr>
          <w:p w14:paraId="5B06AC5C">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燃气锅炉</w:t>
            </w:r>
          </w:p>
        </w:tc>
      </w:tr>
      <w:tr w14:paraId="151C7D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44D8EDF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2653677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地源热泵</w:t>
            </w:r>
          </w:p>
        </w:tc>
        <w:tc>
          <w:tcPr>
            <w:tcW w:w="4102" w:type="dxa"/>
            <w:tcBorders>
              <w:top w:val="single" w:color="auto" w:sz="4" w:space="0"/>
              <w:left w:val="single" w:color="auto" w:sz="4" w:space="0"/>
              <w:bottom w:val="single" w:color="auto" w:sz="4" w:space="0"/>
            </w:tcBorders>
            <w:vAlign w:val="center"/>
          </w:tcPr>
          <w:p w14:paraId="0C3BBB46">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燃气锅炉</w:t>
            </w:r>
          </w:p>
        </w:tc>
      </w:tr>
      <w:tr w14:paraId="557F3E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71F1327C">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3C9EDA6E">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单元式空调机组、多联式空调（热泵）机组或风管送风式空调（热泵）机组</w:t>
            </w:r>
          </w:p>
        </w:tc>
        <w:tc>
          <w:tcPr>
            <w:tcW w:w="4102" w:type="dxa"/>
            <w:tcBorders>
              <w:top w:val="single" w:color="auto" w:sz="4" w:space="0"/>
              <w:left w:val="single" w:color="auto" w:sz="4" w:space="0"/>
              <w:bottom w:val="single" w:color="auto" w:sz="4" w:space="0"/>
            </w:tcBorders>
            <w:vAlign w:val="center"/>
          </w:tcPr>
          <w:p w14:paraId="02BDC223">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单元式空调机组、多联式空调（热泵）机组或风管送风式空调（热泵）机组</w:t>
            </w:r>
          </w:p>
        </w:tc>
      </w:tr>
      <w:tr w14:paraId="381B32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bottom w:val="single" w:color="auto" w:sz="4" w:space="0"/>
              <w:right w:val="single" w:color="auto" w:sz="4" w:space="0"/>
              <w:tl2br w:val="nil"/>
              <w:tr2bl w:val="nil"/>
            </w:tcBorders>
            <w:vAlign w:val="center"/>
          </w:tcPr>
          <w:p w14:paraId="1C20C3E9">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bottom w:val="single" w:color="auto" w:sz="4" w:space="0"/>
              <w:right w:val="single" w:color="auto" w:sz="4" w:space="0"/>
              <w:tl2br w:val="nil"/>
              <w:tr2bl w:val="nil"/>
            </w:tcBorders>
            <w:vAlign w:val="center"/>
          </w:tcPr>
          <w:p w14:paraId="77FB82A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集中热源</w:t>
            </w:r>
          </w:p>
        </w:tc>
        <w:tc>
          <w:tcPr>
            <w:tcW w:w="4102" w:type="dxa"/>
            <w:tcBorders>
              <w:top w:val="single" w:color="auto" w:sz="4" w:space="0"/>
              <w:left w:val="single" w:color="auto" w:sz="4" w:space="0"/>
              <w:bottom w:val="single" w:color="auto" w:sz="4" w:space="0"/>
            </w:tcBorders>
            <w:vAlign w:val="center"/>
          </w:tcPr>
          <w:p w14:paraId="2223C77C">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燃气锅炉</w:t>
            </w:r>
          </w:p>
        </w:tc>
      </w:tr>
      <w:tr w14:paraId="06F75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restart"/>
            <w:tcBorders>
              <w:top w:val="single" w:color="auto" w:sz="4" w:space="0"/>
              <w:right w:val="single" w:color="auto" w:sz="4" w:space="0"/>
              <w:tl2br w:val="nil"/>
              <w:tr2bl w:val="nil"/>
            </w:tcBorders>
            <w:vAlign w:val="center"/>
          </w:tcPr>
          <w:p w14:paraId="5BD7FA88">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冷热水输配系统</w:t>
            </w:r>
          </w:p>
        </w:tc>
        <w:tc>
          <w:tcPr>
            <w:tcW w:w="4101" w:type="dxa"/>
            <w:tcBorders>
              <w:top w:val="single" w:color="auto" w:sz="4" w:space="0"/>
              <w:left w:val="single" w:color="auto" w:sz="4" w:space="0"/>
              <w:right w:val="single" w:color="auto" w:sz="4" w:space="0"/>
              <w:tl2br w:val="nil"/>
              <w:tr2bl w:val="nil"/>
            </w:tcBorders>
            <w:vAlign w:val="center"/>
          </w:tcPr>
          <w:p w14:paraId="64626B83">
            <w:pPr>
              <w:pStyle w:val="362"/>
              <w:numPr>
                <w:ilvl w:val="0"/>
                <w:numId w:val="0"/>
              </w:numPr>
              <w:tabs>
                <w:tab w:val="left" w:pos="420"/>
              </w:tabs>
              <w:overflowPunct w:val="0"/>
              <w:snapToGrid w:val="0"/>
              <w:spacing w:line="309" w:lineRule="exact"/>
              <w:ind w:left="0" w:leftChars="0" w:firstLine="0" w:firstLineChars="0"/>
              <w:jc w:val="center"/>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一级泵系统</w:t>
            </w:r>
          </w:p>
        </w:tc>
        <w:tc>
          <w:tcPr>
            <w:tcW w:w="4102" w:type="dxa"/>
            <w:tcBorders>
              <w:top w:val="single" w:color="auto" w:sz="4" w:space="0"/>
              <w:left w:val="single" w:color="auto" w:sz="4" w:space="0"/>
              <w:bottom w:val="single" w:color="auto" w:sz="8" w:space="0"/>
            </w:tcBorders>
            <w:vAlign w:val="center"/>
          </w:tcPr>
          <w:p w14:paraId="4BE96E4E">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一级泵系统（定频）</w:t>
            </w:r>
          </w:p>
        </w:tc>
      </w:tr>
      <w:tr w14:paraId="19B7A5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526F4EE4">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right w:val="single" w:color="auto" w:sz="4" w:space="0"/>
              <w:tl2br w:val="nil"/>
              <w:tr2bl w:val="nil"/>
            </w:tcBorders>
            <w:vAlign w:val="center"/>
          </w:tcPr>
          <w:p w14:paraId="346CE186">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二级泵系统</w:t>
            </w:r>
          </w:p>
        </w:tc>
        <w:tc>
          <w:tcPr>
            <w:tcW w:w="4102" w:type="dxa"/>
            <w:tcBorders>
              <w:top w:val="single" w:color="auto" w:sz="4" w:space="0"/>
              <w:left w:val="single" w:color="auto" w:sz="4" w:space="0"/>
              <w:bottom w:val="single" w:color="auto" w:sz="8" w:space="0"/>
            </w:tcBorders>
            <w:vAlign w:val="center"/>
          </w:tcPr>
          <w:p w14:paraId="6AB0F7AD">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二级泵系统（定频）</w:t>
            </w:r>
          </w:p>
        </w:tc>
      </w:tr>
      <w:tr w14:paraId="7B5468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8" w:hRule="atLeast"/>
          <w:tblHeader/>
        </w:trPr>
        <w:tc>
          <w:tcPr>
            <w:tcW w:w="1144" w:type="dxa"/>
            <w:vMerge w:val="restart"/>
            <w:tcBorders>
              <w:top w:val="single" w:color="auto" w:sz="4" w:space="0"/>
              <w:right w:val="single" w:color="auto" w:sz="4" w:space="0"/>
              <w:tl2br w:val="nil"/>
              <w:tr2bl w:val="nil"/>
            </w:tcBorders>
            <w:vAlign w:val="center"/>
          </w:tcPr>
          <w:p w14:paraId="01F9E91E">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风处理和输送系统</w:t>
            </w:r>
          </w:p>
        </w:tc>
        <w:tc>
          <w:tcPr>
            <w:tcW w:w="4101" w:type="dxa"/>
            <w:tcBorders>
              <w:top w:val="single" w:color="auto" w:sz="4" w:space="0"/>
              <w:left w:val="single" w:color="auto" w:sz="4" w:space="0"/>
              <w:right w:val="single" w:color="auto" w:sz="4" w:space="0"/>
              <w:tl2br w:val="nil"/>
              <w:tr2bl w:val="nil"/>
            </w:tcBorders>
            <w:vAlign w:val="center"/>
          </w:tcPr>
          <w:p w14:paraId="259C746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定风量全空气系统</w:t>
            </w:r>
          </w:p>
        </w:tc>
        <w:tc>
          <w:tcPr>
            <w:tcW w:w="4102" w:type="dxa"/>
            <w:tcBorders>
              <w:top w:val="single" w:color="auto" w:sz="4" w:space="0"/>
              <w:left w:val="single" w:color="auto" w:sz="4" w:space="0"/>
              <w:bottom w:val="single" w:color="auto" w:sz="8" w:space="0"/>
            </w:tcBorders>
            <w:vAlign w:val="center"/>
          </w:tcPr>
          <w:p w14:paraId="604C1E0D">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定风量全空气系统</w:t>
            </w:r>
          </w:p>
        </w:tc>
      </w:tr>
      <w:tr w14:paraId="6EA8C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5E15CA68">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right w:val="single" w:color="auto" w:sz="4" w:space="0"/>
              <w:tl2br w:val="nil"/>
              <w:tr2bl w:val="nil"/>
            </w:tcBorders>
            <w:vAlign w:val="center"/>
          </w:tcPr>
          <w:p w14:paraId="2074DA2C">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变风量全空气系统</w:t>
            </w:r>
          </w:p>
        </w:tc>
        <w:tc>
          <w:tcPr>
            <w:tcW w:w="4102" w:type="dxa"/>
            <w:tcBorders>
              <w:top w:val="single" w:color="auto" w:sz="4" w:space="0"/>
              <w:left w:val="single" w:color="auto" w:sz="4" w:space="0"/>
              <w:bottom w:val="single" w:color="auto" w:sz="8" w:space="0"/>
            </w:tcBorders>
            <w:vAlign w:val="center"/>
          </w:tcPr>
          <w:p w14:paraId="58895993">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定风量全空气系统</w:t>
            </w:r>
          </w:p>
        </w:tc>
      </w:tr>
      <w:tr w14:paraId="50D868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362990F7">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right w:val="single" w:color="auto" w:sz="4" w:space="0"/>
              <w:tl2br w:val="nil"/>
              <w:tr2bl w:val="nil"/>
            </w:tcBorders>
            <w:vAlign w:val="center"/>
          </w:tcPr>
          <w:p w14:paraId="361E6C54">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风机盘管+新风系统</w:t>
            </w:r>
          </w:p>
        </w:tc>
        <w:tc>
          <w:tcPr>
            <w:tcW w:w="4102" w:type="dxa"/>
            <w:tcBorders>
              <w:top w:val="single" w:color="auto" w:sz="4" w:space="0"/>
              <w:left w:val="single" w:color="auto" w:sz="4" w:space="0"/>
              <w:bottom w:val="single" w:color="auto" w:sz="8" w:space="0"/>
            </w:tcBorders>
            <w:vAlign w:val="center"/>
          </w:tcPr>
          <w:p w14:paraId="3DC1EA11">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风机盘管+新风系统</w:t>
            </w:r>
          </w:p>
        </w:tc>
      </w:tr>
      <w:tr w14:paraId="131D7B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1144" w:type="dxa"/>
            <w:vMerge w:val="continue"/>
            <w:tcBorders>
              <w:right w:val="single" w:color="auto" w:sz="4" w:space="0"/>
              <w:tl2br w:val="nil"/>
              <w:tr2bl w:val="nil"/>
            </w:tcBorders>
            <w:vAlign w:val="center"/>
          </w:tcPr>
          <w:p w14:paraId="17AE9E52">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p>
        </w:tc>
        <w:tc>
          <w:tcPr>
            <w:tcW w:w="4101" w:type="dxa"/>
            <w:tcBorders>
              <w:top w:val="single" w:color="auto" w:sz="4" w:space="0"/>
              <w:left w:val="single" w:color="auto" w:sz="4" w:space="0"/>
              <w:right w:val="single" w:color="auto" w:sz="4" w:space="0"/>
              <w:tl2br w:val="nil"/>
              <w:tr2bl w:val="nil"/>
            </w:tcBorders>
            <w:vAlign w:val="center"/>
          </w:tcPr>
          <w:p w14:paraId="5108D3CB">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辐射末端+新风系统</w:t>
            </w:r>
          </w:p>
        </w:tc>
        <w:tc>
          <w:tcPr>
            <w:tcW w:w="4102" w:type="dxa"/>
            <w:tcBorders>
              <w:top w:val="single" w:color="auto" w:sz="4" w:space="0"/>
              <w:left w:val="single" w:color="auto" w:sz="4" w:space="0"/>
              <w:bottom w:val="single" w:color="auto" w:sz="8" w:space="0"/>
            </w:tcBorders>
            <w:vAlign w:val="center"/>
          </w:tcPr>
          <w:p w14:paraId="4FD6740A">
            <w:pPr>
              <w:pStyle w:val="362"/>
              <w:numPr>
                <w:ilvl w:val="0"/>
                <w:numId w:val="0"/>
              </w:numPr>
              <w:tabs>
                <w:tab w:val="left" w:pos="420"/>
              </w:tabs>
              <w:overflowPunct w:val="0"/>
              <w:snapToGrid w:val="0"/>
              <w:spacing w:line="309" w:lineRule="exact"/>
              <w:ind w:left="0" w:leftChars="0" w:firstLine="0" w:firstLineChars="0"/>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风机盘管+新风系统</w:t>
            </w:r>
          </w:p>
        </w:tc>
      </w:tr>
    </w:tbl>
    <w:p w14:paraId="2E32A186">
      <w:pPr>
        <w:pStyle w:val="276"/>
        <w:numPr>
          <w:ilvl w:val="1"/>
          <w:numId w:val="49"/>
        </w:numPr>
        <w:tabs>
          <w:tab w:val="left" w:pos="360"/>
        </w:tabs>
        <w:spacing w:before="156" w:after="156"/>
        <w:rPr>
          <w:rFonts w:hint="default" w:hAnsi="Times New Roman" w:cs="Times New Roman"/>
          <w:szCs w:val="22"/>
          <w:lang w:val="en-US" w:eastAsia="zh-CN"/>
        </w:rPr>
      </w:pPr>
      <w:bookmarkStart w:id="54" w:name="_Toc10677"/>
      <w:bookmarkStart w:id="55" w:name="_Toc9419"/>
      <w:r>
        <w:rPr>
          <w:rFonts w:hint="eastAsia" w:hAnsi="Times New Roman" w:cs="Times New Roman"/>
          <w:szCs w:val="22"/>
          <w:lang w:val="en-US" w:eastAsia="zh-CN"/>
        </w:rPr>
        <w:t>计算方法</w:t>
      </w:r>
      <w:bookmarkEnd w:id="54"/>
      <w:bookmarkEnd w:id="55"/>
    </w:p>
    <w:p w14:paraId="4054DBA0">
      <w:pPr>
        <w:pStyle w:val="362"/>
        <w:keepNext w:val="0"/>
        <w:keepLines w:val="0"/>
        <w:pageBreakBefore w:val="0"/>
        <w:widowControl w:val="0"/>
        <w:numPr>
          <w:ilvl w:val="0"/>
          <w:numId w:val="55"/>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color w:val="auto"/>
          <w:highlight w:val="none"/>
        </w:rPr>
      </w:pPr>
      <w:r>
        <w:rPr>
          <w:rStyle w:val="698"/>
          <w:rFonts w:hint="eastAsia" w:ascii="宋体" w:hAnsi="宋体" w:eastAsia="宋体" w:cs="宋体"/>
          <w:color w:val="auto"/>
          <w:highlight w:val="none"/>
          <w:lang w:val="en-US" w:eastAsia="zh-CN"/>
        </w:rPr>
        <w:t xml:space="preserve">  建筑能耗综合值应按下式计算</w:t>
      </w:r>
      <w:r>
        <w:rPr>
          <w:rStyle w:val="698"/>
          <w:rFonts w:hint="eastAsia" w:ascii="宋体" w:hAnsi="宋体" w:eastAsia="宋体" w:cs="宋体"/>
          <w:color w:val="auto"/>
          <w:highlight w:val="none"/>
        </w:rPr>
        <w:t>：</w:t>
      </w:r>
    </w:p>
    <w:p w14:paraId="4FDBB164">
      <w:pPr>
        <w:widowControl/>
        <w:ind w:firstLine="480"/>
        <w:jc w:val="right"/>
        <w:rPr>
          <w:rFonts w:ascii="Times New Roman" w:hAnsi="Times New Roman"/>
          <w:color w:val="auto"/>
          <w:szCs w:val="21"/>
          <w:highlight w:val="none"/>
        </w:rPr>
      </w:pPr>
      <w:r>
        <w:rPr>
          <w:rFonts w:ascii="Times New Roman" w:hAnsi="Times New Roman"/>
          <w:color w:val="auto"/>
          <w:szCs w:val="21"/>
          <w:highlight w:val="none"/>
        </w:rPr>
        <w:t xml:space="preserve">  </w:t>
      </w:r>
      <w:r>
        <w:rPr>
          <w:rFonts w:ascii="Times New Roman" w:hAnsi="Times New Roman"/>
          <w:color w:val="auto"/>
          <w:szCs w:val="21"/>
          <w:highlight w:val="none"/>
        </w:rPr>
        <w:fldChar w:fldCharType="begin"/>
      </w:r>
      <w:r>
        <w:rPr>
          <w:rFonts w:ascii="Times New Roman" w:hAnsi="Times New Roman"/>
          <w:color w:val="auto"/>
          <w:szCs w:val="21"/>
          <w:highlight w:val="none"/>
        </w:rPr>
        <w:instrText xml:space="preserve"> QUOTE </w:instrText>
      </w:r>
      <m:oMath>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η</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l</m:t>
            </m:r>
            <m:ctrlPr>
              <w:rPr>
                <w:rFonts w:ascii="Cambria Math" w:hAnsi="Cambria Math"/>
                <w:i/>
                <w:color w:val="auto"/>
                <w:szCs w:val="21"/>
                <w:highlight w:val="none"/>
              </w:rPr>
            </m:ctrlPr>
          </m:sub>
        </m:sSub>
        <m:r>
          <m:rPr>
            <m:sty m:val="p"/>
          </m:rPr>
          <w:rPr>
            <w:rFonts w:ascii="Cambria Math" w:hAnsi="Cambria Math"/>
            <w:color w:val="auto"/>
            <w:szCs w:val="21"/>
            <w:highlight w:val="none"/>
          </w:rPr>
          <m:t xml:space="preserve">=</m:t>
        </m:r>
        <m:f>
          <m:fPr>
            <m:ctrlPr>
              <w:rPr>
                <w:rFonts w:ascii="Cambria Math" w:hAnsi="Cambria Math"/>
                <w:i/>
                <w:color w:val="auto"/>
                <w:szCs w:val="21"/>
                <w:highlight w:val="none"/>
              </w:rPr>
            </m:ctrlPr>
          </m:fPr>
          <m:num>
            <m:r>
              <m:rPr>
                <m:sty m:val="p"/>
              </m:rPr>
              <w:rPr>
                <w:rFonts w:ascii="Cambria Math" w:hAnsi="Cambria Math"/>
                <w:color w:val="auto"/>
                <w:szCs w:val="21"/>
                <w:highlight w:val="none"/>
              </w:rPr>
              <m:t xml:space="preserve">Q−</m:t>
            </m:r>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Q</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r</m:t>
                </m:r>
                <m:ctrlPr>
                  <w:rPr>
                    <w:rFonts w:ascii="Cambria Math" w:hAnsi="Cambria Math"/>
                    <w:i/>
                    <w:color w:val="auto"/>
                    <w:szCs w:val="21"/>
                    <w:highlight w:val="none"/>
                  </w:rPr>
                </m:ctrlPr>
              </m:sub>
            </m:sSub>
            <m:ctrlPr>
              <w:rPr>
                <w:rFonts w:ascii="Cambria Math" w:hAnsi="Cambria Math"/>
                <w:i/>
                <w:color w:val="auto"/>
                <w:szCs w:val="21"/>
                <w:highlight w:val="none"/>
              </w:rPr>
            </m:ctrlPr>
          </m:num>
          <m:den>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Q</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r</m:t>
                </m:r>
                <m:ctrlPr>
                  <w:rPr>
                    <w:rFonts w:ascii="Cambria Math" w:hAnsi="Cambria Math"/>
                    <w:i/>
                    <w:color w:val="auto"/>
                    <w:szCs w:val="21"/>
                    <w:highlight w:val="none"/>
                  </w:rPr>
                </m:ctrlPr>
              </m:sub>
            </m:sSub>
            <m:ctrlPr>
              <w:rPr>
                <w:rFonts w:ascii="Cambria Math" w:hAnsi="Cambria Math"/>
                <w:i/>
                <w:color w:val="auto"/>
                <w:szCs w:val="21"/>
                <w:highlight w:val="none"/>
              </w:rPr>
            </m:ctrlPr>
          </m:den>
        </m:f>
        <m:r>
          <m:rPr>
            <m:sty m:val="p"/>
          </m:rPr>
          <w:rPr>
            <w:rFonts w:ascii="Cambria Math" w:hAnsi="Cambria Math"/>
            <w:color w:val="auto"/>
            <w:szCs w:val="21"/>
            <w:highlight w:val="none"/>
          </w:rPr>
          <m:t xml:space="preserve">×100%</m:t>
        </m:r>
      </m:oMath>
      <w:r>
        <w:rPr>
          <w:rFonts w:ascii="Times New Roman" w:hAnsi="Times New Roman"/>
          <w:color w:val="auto"/>
          <w:szCs w:val="21"/>
          <w:highlight w:val="none"/>
        </w:rPr>
        <w:instrText xml:space="preserve"> </w:instrText>
      </w:r>
      <w:r>
        <w:rPr>
          <w:rFonts w:ascii="Times New Roman" w:hAnsi="Times New Roman"/>
          <w:color w:val="auto"/>
          <w:szCs w:val="21"/>
          <w:highlight w:val="none"/>
        </w:rPr>
        <w:fldChar w:fldCharType="end"/>
      </w:r>
      <m:oMath>
        <m:r>
          <m:rPr/>
          <w:rPr>
            <w:rFonts w:hint="default" w:ascii="Cambria Math" w:hAnsi="Cambria Math"/>
            <w:color w:val="auto"/>
            <w:szCs w:val="21"/>
            <w:highlight w:val="none"/>
            <w:lang w:val="en-US" w:eastAsia="zh-CN"/>
          </w:rPr>
          <m:t>E</m:t>
        </m:r>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f>
          <m:fPr>
            <m:ctrlPr>
              <w:rPr>
                <w:rFonts w:ascii="Cambria Math" w:hAnsi="Cambria Math"/>
                <w:i/>
                <w:color w:val="auto"/>
                <w:szCs w:val="21"/>
                <w:highlight w:val="none"/>
              </w:rPr>
            </m:ctrlPr>
          </m:fPr>
          <m:num>
            <m:nary>
              <m:naryPr>
                <m:chr m:val="∑"/>
                <m:limLoc m:val="undOvr"/>
                <m:subHide m:val="1"/>
                <m:supHide m:val="1"/>
                <m:ctrlPr>
                  <w:rPr>
                    <w:rFonts w:ascii="Cambria Math" w:hAnsi="Cambria Math"/>
                    <w:i/>
                    <w:color w:val="auto"/>
                    <w:szCs w:val="21"/>
                    <w:highlight w:val="none"/>
                  </w:rPr>
                </m:ctrlPr>
              </m:naryPr>
              <m:sub>
                <m:ctrlPr>
                  <w:rPr>
                    <w:rFonts w:ascii="Cambria Math" w:hAnsi="Cambria Math"/>
                    <w:i/>
                    <w:color w:val="auto"/>
                    <w:szCs w:val="21"/>
                    <w:highlight w:val="none"/>
                  </w:rPr>
                </m:ctrlPr>
              </m:sub>
              <m:sup>
                <m:ctrlPr>
                  <w:rPr>
                    <w:rFonts w:ascii="Cambria Math" w:hAnsi="Cambria Math"/>
                    <w:i/>
                    <w:color w:val="auto"/>
                    <w:szCs w:val="21"/>
                    <w:highlight w:val="none"/>
                  </w:rPr>
                </m:ctrlPr>
              </m:sup>
              <m:e>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m:t>
                    </m:r>
                    <m:r>
                      <m:rPr/>
                      <w:rPr>
                        <w:rFonts w:hint="eastAsia" w:ascii="Cambria Math" w:hAnsi="Cambria Math"/>
                        <w:color w:val="auto"/>
                        <w:szCs w:val="21"/>
                        <w:highlight w:val="none"/>
                        <w:lang w:val="en-US" w:eastAsia="zh-CN"/>
                      </w:rPr>
                      <m:t>，</m:t>
                    </m:r>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nary>
                  <m:naryPr>
                    <m:chr m:val="∑"/>
                    <m:limLoc m:val="undOvr"/>
                    <m:subHide m:val="1"/>
                    <m:supHide m:val="1"/>
                    <m:ctrlPr>
                      <w:rPr>
                        <w:rFonts w:ascii="Cambria Math" w:hAnsi="Cambria Math"/>
                        <w:i/>
                        <w:color w:val="auto"/>
                        <w:szCs w:val="21"/>
                        <w:highlight w:val="none"/>
                      </w:rPr>
                    </m:ctrlPr>
                  </m:naryPr>
                  <m:sub>
                    <m:ctrlPr>
                      <w:rPr>
                        <w:rFonts w:ascii="Cambria Math" w:hAnsi="Cambria Math"/>
                        <w:i/>
                        <w:color w:val="auto"/>
                        <w:szCs w:val="21"/>
                        <w:highlight w:val="none"/>
                      </w:rPr>
                    </m:ctrlPr>
                  </m:sub>
                  <m:sup>
                    <m:ctrlPr>
                      <w:rPr>
                        <w:rFonts w:ascii="Cambria Math" w:hAnsi="Cambria Math"/>
                        <w:i/>
                        <w:color w:val="auto"/>
                        <w:szCs w:val="21"/>
                        <w:highlight w:val="none"/>
                      </w:rPr>
                    </m:ctrlPr>
                  </m:sup>
                  <m:e>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rd</m:t>
                        </m:r>
                        <m:r>
                          <m:rPr/>
                          <w:rPr>
                            <w:rFonts w:hint="eastAsia" w:ascii="Cambria Math" w:hAnsi="Cambria Math"/>
                            <w:color w:val="auto"/>
                            <w:szCs w:val="21"/>
                            <w:highlight w:val="none"/>
                            <w:lang w:val="en-US" w:eastAsia="zh-CN"/>
                          </w:rPr>
                          <m:t>，</m:t>
                        </m:r>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ctrlPr>
                      <w:rPr>
                        <w:rFonts w:ascii="Cambria Math" w:hAnsi="Cambria Math"/>
                        <w:i/>
                        <w:color w:val="auto"/>
                        <w:szCs w:val="21"/>
                        <w:highlight w:val="none"/>
                      </w:rPr>
                    </m:ctrlPr>
                  </m:e>
                </m:nary>
                <m:ctrlPr>
                  <w:rPr>
                    <w:rFonts w:ascii="Cambria Math" w:hAnsi="Cambria Math"/>
                    <w:i/>
                    <w:color w:val="auto"/>
                    <w:szCs w:val="21"/>
                    <w:highlight w:val="none"/>
                  </w:rPr>
                </m:ctrlPr>
              </m:e>
            </m:nary>
            <m:ctrlPr>
              <w:rPr>
                <w:rFonts w:ascii="Cambria Math" w:hAnsi="Cambria Math"/>
                <w:i/>
                <w:color w:val="auto"/>
                <w:szCs w:val="21"/>
                <w:highlight w:val="none"/>
              </w:rPr>
            </m:ctrlPr>
          </m:num>
          <m:den>
            <m:r>
              <m:rPr/>
              <w:rPr>
                <w:rFonts w:hint="default" w:ascii="Cambria Math" w:hAnsi="Cambria Math"/>
                <w:color w:val="auto"/>
                <w:szCs w:val="21"/>
                <w:highlight w:val="none"/>
                <w:lang w:val="en-US" w:eastAsia="zh-CN"/>
              </w:rPr>
              <m:t>A</m:t>
            </m:r>
            <m:ctrlPr>
              <w:rPr>
                <w:rFonts w:ascii="Cambria Math" w:hAnsi="Cambria Math"/>
                <w:i/>
                <w:color w:val="auto"/>
                <w:szCs w:val="21"/>
                <w:highlight w:val="none"/>
              </w:rPr>
            </m:ctrlPr>
          </m:den>
        </m:f>
      </m:oMath>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ascii="Times New Roman" w:hAnsi="Times New Roman"/>
          <w:color w:val="auto"/>
          <w:szCs w:val="21"/>
          <w:highlight w:val="none"/>
        </w:rPr>
        <w:t>（</w:t>
      </w:r>
      <w:r>
        <w:rPr>
          <w:rFonts w:hint="default" w:ascii="Times New Roman" w:hAnsi="Times New Roman" w:cs="Times New Roman"/>
          <w:color w:val="auto"/>
          <w:szCs w:val="21"/>
          <w:highlight w:val="none"/>
        </w:rPr>
        <w:t>A.2.1</w:t>
      </w:r>
      <w:r>
        <w:rPr>
          <w:rFonts w:ascii="Times New Roman" w:hAnsi="Times New Roman"/>
          <w:color w:val="auto"/>
          <w:szCs w:val="21"/>
          <w:highlight w:val="none"/>
        </w:rPr>
        <w:t xml:space="preserve">）       </w:t>
      </w:r>
    </w:p>
    <w:p w14:paraId="4F92808C">
      <w:pPr>
        <w:overflowPunct w:val="0"/>
        <w:snapToGrid w:val="0"/>
        <w:spacing w:line="309" w:lineRule="exact"/>
        <w:rPr>
          <w:rFonts w:ascii="宋体" w:hAnsi="宋体" w:cs="宋体"/>
          <w:bCs/>
          <w:color w:val="auto"/>
          <w:szCs w:val="21"/>
          <w:highlight w:val="none"/>
        </w:rPr>
      </w:pPr>
      <w:r>
        <w:rPr>
          <w:rFonts w:ascii="宋体" w:hAnsi="宋体" w:cs="宋体"/>
          <w:bCs/>
          <w:color w:val="auto"/>
          <w:szCs w:val="21"/>
          <w:highlight w:val="none"/>
        </w:rPr>
        <w:t>式中：</w:t>
      </w:r>
      <m:oMath>
        <m:r>
          <m:rPr>
            <m:sty m:val="p"/>
          </m:rPr>
          <w:rPr>
            <w:rFonts w:hint="default" w:ascii="Cambria Math" w:hAnsi="Cambria Math" w:cs="宋体"/>
            <w:color w:val="auto"/>
            <w:szCs w:val="21"/>
            <w:highlight w:val="none"/>
            <w:lang w:val="en-US" w:eastAsia="zh-CN"/>
          </w:rPr>
          <m:t>E</m:t>
        </m:r>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rPr>
        <w:t>建筑能耗综合值</w:t>
      </w:r>
      <w:r>
        <w:rPr>
          <w:rFonts w:hint="eastAsia" w:ascii="宋体" w:hAnsi="宋体" w:cs="宋体"/>
          <w:bCs/>
          <w:color w:val="auto"/>
          <w:szCs w:val="21"/>
          <w:highlight w:val="none"/>
          <w:lang w:val="en-US" w:eastAsia="zh-CN"/>
        </w:rPr>
        <w:t>，</w:t>
      </w:r>
      <w:r>
        <w:rPr>
          <w:rFonts w:hint="default" w:ascii="Times New Roman" w:hAnsi="Times New Roman" w:cs="Times New Roman"/>
          <w:bCs/>
          <w:color w:val="auto"/>
          <w:szCs w:val="21"/>
          <w:highlight w:val="none"/>
          <w:lang w:val="en-US" w:eastAsia="zh-CN"/>
        </w:rPr>
        <w:t>kWh/（m</w:t>
      </w:r>
      <w:r>
        <w:rPr>
          <w:rFonts w:hint="default" w:ascii="Times New Roman" w:hAnsi="Times New Roman" w:cs="Times New Roman"/>
          <w:bCs/>
          <w:color w:val="auto"/>
          <w:szCs w:val="21"/>
          <w:highlight w:val="none"/>
          <w:vertAlign w:val="superscript"/>
          <w:lang w:val="en-US" w:eastAsia="zh-CN"/>
        </w:rPr>
        <w:t>2</w:t>
      </w:r>
      <w:r>
        <w:rPr>
          <w:rFonts w:hint="default" w:ascii="Times New Roman" w:hAnsi="Times New Roman" w:cs="Times New Roman"/>
          <w:bCs/>
          <w:color w:val="auto"/>
          <w:szCs w:val="21"/>
          <w:highlight w:val="none"/>
          <w:lang w:val="en-US" w:eastAsia="zh-CN"/>
        </w:rPr>
        <w:t>·a）</w:t>
      </w:r>
      <w:r>
        <w:rPr>
          <w:rFonts w:ascii="宋体" w:hAnsi="宋体" w:cs="宋体"/>
          <w:bCs/>
          <w:color w:val="auto"/>
          <w:szCs w:val="21"/>
          <w:highlight w:val="none"/>
        </w:rPr>
        <w:t>；</w:t>
      </w:r>
    </w:p>
    <w:p w14:paraId="26F46C30">
      <w:pPr>
        <w:overflowPunct w:val="0"/>
        <w:snapToGrid w:val="0"/>
        <w:spacing w:line="309" w:lineRule="exact"/>
        <w:ind w:firstLine="630" w:firstLineChars="300"/>
        <w:rPr>
          <w:rFonts w:ascii="宋体" w:hAnsi="宋体" w:cs="宋体"/>
          <w:bCs/>
          <w:color w:val="auto"/>
          <w:szCs w:val="21"/>
          <w:highlight w:val="none"/>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sub>
        </m:sSub>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rPr>
        <w:t>不含可再生能源发电的建筑能耗综合值</w:t>
      </w:r>
      <w:r>
        <w:rPr>
          <w:rFonts w:ascii="宋体" w:hAnsi="宋体" w:cs="宋体"/>
          <w:bCs/>
          <w:color w:val="auto"/>
          <w:szCs w:val="21"/>
          <w:highlight w:val="none"/>
        </w:rPr>
        <w:t>，</w:t>
      </w:r>
      <w:r>
        <w:rPr>
          <w:rFonts w:hint="default" w:ascii="Times New Roman" w:hAnsi="Times New Roman" w:cs="Times New Roman"/>
          <w:bCs/>
          <w:color w:val="auto"/>
          <w:szCs w:val="21"/>
          <w:highlight w:val="none"/>
          <w:lang w:val="en-US" w:eastAsia="zh-CN"/>
        </w:rPr>
        <w:t>kWh/（m</w:t>
      </w:r>
      <w:r>
        <w:rPr>
          <w:rFonts w:hint="default" w:ascii="Times New Roman" w:hAnsi="Times New Roman" w:cs="Times New Roman"/>
          <w:bCs/>
          <w:color w:val="auto"/>
          <w:szCs w:val="21"/>
          <w:highlight w:val="none"/>
          <w:vertAlign w:val="superscript"/>
          <w:lang w:val="en-US" w:eastAsia="zh-CN"/>
        </w:rPr>
        <w:t>2</w:t>
      </w:r>
      <w:r>
        <w:rPr>
          <w:rFonts w:hint="default" w:ascii="Times New Roman" w:hAnsi="Times New Roman" w:cs="Times New Roman"/>
          <w:bCs/>
          <w:color w:val="auto"/>
          <w:szCs w:val="21"/>
          <w:highlight w:val="none"/>
          <w:lang w:val="en-US" w:eastAsia="zh-CN"/>
        </w:rPr>
        <w:t>·a）</w:t>
      </w:r>
      <w:r>
        <w:rPr>
          <w:rFonts w:ascii="宋体" w:hAnsi="宋体" w:cs="宋体"/>
          <w:bCs/>
          <w:color w:val="auto"/>
          <w:szCs w:val="21"/>
          <w:highlight w:val="none"/>
        </w:rPr>
        <w:t>；</w:t>
      </w:r>
    </w:p>
    <w:p w14:paraId="75818F58">
      <w:pPr>
        <w:overflowPunct w:val="0"/>
        <w:snapToGrid w:val="0"/>
        <w:spacing w:line="309" w:lineRule="exact"/>
        <w:ind w:firstLine="630" w:firstLineChars="300"/>
        <w:rPr>
          <w:rFonts w:ascii="宋体" w:hAnsi="宋体" w:cs="宋体"/>
          <w:bCs/>
          <w:color w:val="auto"/>
          <w:szCs w:val="21"/>
          <w:highlight w:val="none"/>
        </w:rPr>
      </w:pPr>
      <m:oMath>
        <m:r>
          <m:rPr>
            <m:sty m:val="p"/>
          </m:rPr>
          <w:rPr>
            <w:rFonts w:hint="default" w:ascii="Cambria Math" w:hAnsi="Cambria Math" w:cs="宋体"/>
            <w:color w:val="auto"/>
            <w:szCs w:val="21"/>
            <w:highlight w:val="none"/>
            <w:lang w:val="en-US" w:eastAsia="zh-CN"/>
          </w:rPr>
          <m:t>A</m:t>
        </m:r>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lang w:val="en-US" w:eastAsia="zh-CN"/>
        </w:rPr>
        <w:t>建筑面积，</w:t>
      </w:r>
      <w:r>
        <w:rPr>
          <w:rFonts w:hint="default" w:ascii="Times New Roman" w:hAnsi="Times New Roman" w:cs="Times New Roman"/>
          <w:bCs/>
          <w:color w:val="auto"/>
          <w:szCs w:val="21"/>
          <w:highlight w:val="none"/>
          <w:lang w:val="en-US" w:eastAsia="zh-CN"/>
        </w:rPr>
        <w:t>m</w:t>
      </w:r>
      <w:r>
        <w:rPr>
          <w:rFonts w:hint="default" w:ascii="Times New Roman" w:hAnsi="Times New Roman" w:cs="Times New Roman"/>
          <w:bCs/>
          <w:color w:val="auto"/>
          <w:szCs w:val="21"/>
          <w:highlight w:val="none"/>
          <w:vertAlign w:val="superscript"/>
          <w:lang w:val="en-US" w:eastAsia="zh-CN"/>
        </w:rPr>
        <w:t>2</w:t>
      </w:r>
      <w:r>
        <w:rPr>
          <w:rFonts w:ascii="宋体" w:hAnsi="宋体" w:cs="宋体"/>
          <w:bCs/>
          <w:color w:val="auto"/>
          <w:szCs w:val="21"/>
          <w:highlight w:val="none"/>
        </w:rPr>
        <w:t>；</w:t>
      </w:r>
    </w:p>
    <w:p w14:paraId="4A22345F">
      <w:pPr>
        <w:overflowPunct w:val="0"/>
        <w:snapToGrid w:val="0"/>
        <w:spacing w:line="309" w:lineRule="exact"/>
        <w:ind w:firstLine="630" w:firstLineChars="300"/>
        <w:rPr>
          <w:rFonts w:ascii="宋体" w:hAnsi="宋体" w:cs="宋体"/>
          <w:bCs/>
          <w:color w:val="auto"/>
          <w:szCs w:val="21"/>
          <w:highlight w:val="none"/>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f</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i</m:t>
            </m:r>
            <m:ctrlPr>
              <w:rPr>
                <w:rFonts w:ascii="Cambria Math" w:hAnsi="Cambria Math" w:cs="宋体"/>
                <w:bCs/>
                <w:color w:val="auto"/>
                <w:szCs w:val="21"/>
                <w:highlight w:val="none"/>
              </w:rPr>
            </m:ctrlPr>
          </m:sub>
        </m:sSub>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lang w:val="en-US" w:eastAsia="zh-CN"/>
        </w:rPr>
        <w:t>i类型能源的能源换算系数，按表</w:t>
      </w:r>
      <w:r>
        <w:rPr>
          <w:rFonts w:hint="default" w:ascii="Times New Roman" w:hAnsi="Times New Roman" w:cs="Times New Roman"/>
          <w:bCs/>
          <w:color w:val="auto"/>
          <w:szCs w:val="21"/>
          <w:highlight w:val="none"/>
          <w:lang w:val="en-US" w:eastAsia="zh-CN"/>
        </w:rPr>
        <w:t>A.2.1</w:t>
      </w:r>
      <w:r>
        <w:rPr>
          <w:rFonts w:hint="eastAsia" w:ascii="宋体" w:hAnsi="宋体" w:cs="宋体"/>
          <w:bCs/>
          <w:color w:val="auto"/>
          <w:szCs w:val="21"/>
          <w:highlight w:val="none"/>
          <w:lang w:val="en-US" w:eastAsia="zh-CN"/>
        </w:rPr>
        <w:t>选取；</w:t>
      </w:r>
    </w:p>
    <w:p w14:paraId="74B968AA">
      <w:pPr>
        <w:overflowPunct w:val="0"/>
        <w:snapToGrid w:val="0"/>
        <w:spacing w:line="309" w:lineRule="exact"/>
        <w:ind w:firstLine="630" w:firstLineChars="300"/>
        <w:rPr>
          <w:rFonts w:hint="eastAsia" w:ascii="宋体" w:hAnsi="宋体" w:cs="宋体"/>
          <w:bCs/>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ascii="Cambria Math" w:hAnsi="Cambria Math" w:cs="宋体"/>
                <w:color w:val="auto"/>
                <w:szCs w:val="21"/>
                <w:highlight w:val="none"/>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r,i</m:t>
            </m:r>
            <m:ctrlPr>
              <w:rPr>
                <w:rFonts w:ascii="Cambria Math" w:hAnsi="Cambria Math" w:cs="宋体"/>
                <w:bCs/>
                <w:color w:val="auto"/>
                <w:szCs w:val="21"/>
                <w:highlight w:val="none"/>
              </w:rPr>
            </m:ctrlPr>
          </m:sub>
        </m:sSub>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lang w:val="en-US" w:eastAsia="zh-CN"/>
        </w:rPr>
        <w:t>年本体产生的</w:t>
      </w:r>
      <w:r>
        <w:rPr>
          <w:rFonts w:hint="default" w:ascii="Times New Roman" w:hAnsi="Times New Roman" w:cs="Times New Roman"/>
          <w:bCs/>
          <w:color w:val="auto"/>
          <w:szCs w:val="21"/>
          <w:highlight w:val="none"/>
          <w:lang w:val="en-US" w:eastAsia="zh-CN"/>
        </w:rPr>
        <w:t>i</w:t>
      </w:r>
      <w:r>
        <w:rPr>
          <w:rFonts w:hint="eastAsia" w:ascii="宋体" w:hAnsi="宋体" w:cs="宋体"/>
          <w:bCs/>
          <w:color w:val="auto"/>
          <w:szCs w:val="21"/>
          <w:highlight w:val="none"/>
          <w:lang w:val="en-US" w:eastAsia="zh-CN"/>
        </w:rPr>
        <w:t>类型可再生能源发电量，</w:t>
      </w:r>
      <w:r>
        <w:rPr>
          <w:rFonts w:hint="default" w:ascii="Times New Roman" w:hAnsi="Times New Roman" w:cs="Times New Roman"/>
          <w:bCs/>
          <w:color w:val="auto"/>
          <w:szCs w:val="21"/>
          <w:highlight w:val="none"/>
          <w:lang w:val="en-US" w:eastAsia="zh-CN"/>
        </w:rPr>
        <w:t>kWh</w:t>
      </w:r>
      <w:r>
        <w:rPr>
          <w:rFonts w:hint="eastAsia" w:ascii="宋体" w:hAnsi="宋体" w:cs="宋体"/>
          <w:bCs/>
          <w:color w:val="auto"/>
          <w:szCs w:val="21"/>
          <w:highlight w:val="none"/>
          <w:lang w:val="en-US" w:eastAsia="zh-CN"/>
        </w:rPr>
        <w:t>；</w:t>
      </w:r>
    </w:p>
    <w:p w14:paraId="0042C424">
      <w:pPr>
        <w:overflowPunct w:val="0"/>
        <w:snapToGrid w:val="0"/>
        <w:spacing w:line="309" w:lineRule="exact"/>
        <w:ind w:firstLine="630" w:firstLineChars="300"/>
        <w:rPr>
          <w:rFonts w:hint="eastAsia" w:ascii="宋体" w:hAnsi="宋体" w:cs="宋体"/>
          <w:bCs/>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ascii="Cambria Math" w:hAnsi="Cambria Math" w:cs="宋体"/>
                <w:color w:val="auto"/>
                <w:szCs w:val="21"/>
                <w:highlight w:val="none"/>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r</m:t>
            </m:r>
            <m:r>
              <m:rPr>
                <m:sty m:val="p"/>
              </m:rPr>
              <w:rPr>
                <w:rFonts w:hint="eastAsia" w:ascii="Cambria Math" w:hAnsi="Cambria Math" w:cs="宋体"/>
                <w:color w:val="auto"/>
                <w:szCs w:val="21"/>
                <w:highlight w:val="none"/>
                <w:lang w:val="en-US" w:eastAsia="zh-CN"/>
              </w:rPr>
              <m:t>d</m:t>
            </m:r>
            <m:r>
              <m:rPr>
                <m:sty m:val="p"/>
              </m:rPr>
              <w:rPr>
                <w:rFonts w:hint="default" w:ascii="Cambria Math" w:hAnsi="Cambria Math" w:cs="宋体"/>
                <w:color w:val="auto"/>
                <w:szCs w:val="21"/>
                <w:highlight w:val="none"/>
                <w:lang w:val="en-US" w:eastAsia="zh-CN"/>
              </w:rPr>
              <m:t>,i</m:t>
            </m:r>
            <m:ctrlPr>
              <w:rPr>
                <w:rFonts w:ascii="Cambria Math" w:hAnsi="Cambria Math" w:cs="宋体"/>
                <w:bCs/>
                <w:color w:val="auto"/>
                <w:szCs w:val="21"/>
                <w:highlight w:val="none"/>
              </w:rPr>
            </m:ctrlPr>
          </m:sub>
        </m:sSub>
      </m:oMath>
      <w:r>
        <w:rPr>
          <w:rFonts w:hint="default" w:ascii="Times New Roman" w:hAnsi="Times New Roman" w:cs="Times New Roman"/>
          <w:bCs/>
          <w:color w:val="auto"/>
          <w:szCs w:val="21"/>
          <w:highlight w:val="none"/>
        </w:rPr>
        <w:t>——</w:t>
      </w:r>
      <w:r>
        <w:rPr>
          <w:rFonts w:hint="eastAsia" w:ascii="宋体" w:hAnsi="宋体" w:cs="宋体"/>
          <w:bCs/>
          <w:color w:val="auto"/>
          <w:szCs w:val="21"/>
          <w:highlight w:val="none"/>
          <w:lang w:val="en-US" w:eastAsia="zh-CN"/>
        </w:rPr>
        <w:t>年周边产生的</w:t>
      </w:r>
      <w:r>
        <w:rPr>
          <w:rFonts w:hint="default" w:ascii="Times New Roman" w:hAnsi="Times New Roman" w:cs="Times New Roman"/>
          <w:bCs/>
          <w:color w:val="auto"/>
          <w:szCs w:val="21"/>
          <w:highlight w:val="none"/>
          <w:lang w:val="en-US" w:eastAsia="zh-CN"/>
        </w:rPr>
        <w:t>i</w:t>
      </w:r>
      <w:r>
        <w:rPr>
          <w:rFonts w:hint="eastAsia" w:ascii="宋体" w:hAnsi="宋体" w:cs="宋体"/>
          <w:bCs/>
          <w:color w:val="auto"/>
          <w:szCs w:val="21"/>
          <w:highlight w:val="none"/>
          <w:lang w:val="en-US" w:eastAsia="zh-CN"/>
        </w:rPr>
        <w:t>类型可再生能源发电量，</w:t>
      </w:r>
      <w:r>
        <w:rPr>
          <w:rFonts w:hint="default" w:ascii="Times New Roman" w:hAnsi="Times New Roman" w:cs="Times New Roman"/>
          <w:bCs/>
          <w:color w:val="auto"/>
          <w:szCs w:val="21"/>
          <w:highlight w:val="none"/>
          <w:lang w:val="en-US" w:eastAsia="zh-CN"/>
        </w:rPr>
        <w:t>kWh</w:t>
      </w:r>
      <w:r>
        <w:rPr>
          <w:rFonts w:hint="eastAsia" w:ascii="宋体" w:hAnsi="宋体" w:cs="宋体"/>
          <w:bCs/>
          <w:color w:val="auto"/>
          <w:szCs w:val="21"/>
          <w:highlight w:val="none"/>
          <w:lang w:val="en-US" w:eastAsia="zh-CN"/>
        </w:rPr>
        <w:t>。</w:t>
      </w:r>
    </w:p>
    <w:p w14:paraId="25089F21">
      <w:pPr>
        <w:pStyle w:val="258"/>
        <w:widowControl w:val="0"/>
        <w:overflowPunct w:val="0"/>
        <w:spacing w:before="62" w:beforeLines="20" w:after="78" w:afterLines="25" w:line="309" w:lineRule="exact"/>
        <w:ind w:firstLine="0" w:firstLineChars="0"/>
        <w:jc w:val="center"/>
        <w:rPr>
          <w:rFonts w:hint="default" w:ascii="宋体" w:hAnsi="宋体" w:eastAsia="黑体" w:cs="宋体"/>
          <w:color w:val="auto"/>
          <w:szCs w:val="21"/>
          <w:highlight w:val="none"/>
          <w:lang w:val="en-US" w:eastAsia="zh-CN"/>
        </w:rPr>
      </w:pPr>
      <w:r>
        <w:rPr>
          <w:rFonts w:ascii="黑体" w:hAnsi="黑体" w:eastAsia="黑体" w:cs="黑体"/>
          <w:color w:val="auto"/>
          <w:sz w:val="18"/>
          <w:szCs w:val="18"/>
          <w:highlight w:val="none"/>
        </w:rPr>
        <w:t>表</w:t>
      </w:r>
      <w:r>
        <w:rPr>
          <w:rFonts w:hint="eastAsia" w:ascii="黑体" w:hAnsi="黑体" w:eastAsia="黑体" w:cs="黑体"/>
          <w:color w:val="auto"/>
          <w:sz w:val="18"/>
          <w:szCs w:val="18"/>
          <w:highlight w:val="none"/>
          <w:lang w:val="en-US" w:eastAsia="zh-CN"/>
        </w:rPr>
        <w:t>A.2.1</w:t>
      </w:r>
      <w:r>
        <w:rPr>
          <w:rFonts w:ascii="黑体" w:hAnsi="黑体" w:eastAsia="黑体" w:cs="黑体"/>
          <w:color w:val="auto"/>
          <w:sz w:val="18"/>
          <w:szCs w:val="18"/>
          <w:highlight w:val="none"/>
        </w:rPr>
        <w:t xml:space="preserve">  </w:t>
      </w:r>
      <w:r>
        <w:rPr>
          <w:rFonts w:hint="eastAsia" w:ascii="黑体" w:hAnsi="黑体" w:eastAsia="黑体" w:cs="黑体"/>
          <w:color w:val="auto"/>
          <w:sz w:val="18"/>
          <w:szCs w:val="18"/>
          <w:highlight w:val="none"/>
          <w:lang w:val="en-US" w:eastAsia="zh-CN"/>
        </w:rPr>
        <w:t>能源换算系数</w:t>
      </w:r>
    </w:p>
    <w:tbl>
      <w:tblPr>
        <w:tblStyle w:val="89"/>
        <w:tblW w:w="957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524"/>
        <w:gridCol w:w="2023"/>
        <w:gridCol w:w="2023"/>
      </w:tblGrid>
      <w:tr w14:paraId="197C78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right w:val="single" w:color="000000" w:sz="4" w:space="0"/>
              <w:tl2br w:val="nil"/>
              <w:tr2bl w:val="nil"/>
            </w:tcBorders>
            <w:vAlign w:val="center"/>
          </w:tcPr>
          <w:p w14:paraId="52BD9F7D">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能源类型</w:t>
            </w:r>
          </w:p>
        </w:tc>
        <w:tc>
          <w:tcPr>
            <w:tcW w:w="2023" w:type="dxa"/>
            <w:tcBorders>
              <w:left w:val="single" w:color="000000" w:sz="4" w:space="0"/>
              <w:right w:val="single" w:color="000000" w:sz="4" w:space="0"/>
              <w:tl2br w:val="nil"/>
              <w:tr2bl w:val="nil"/>
            </w:tcBorders>
            <w:vAlign w:val="center"/>
          </w:tcPr>
          <w:p w14:paraId="671326AF">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换算单位</w:t>
            </w:r>
          </w:p>
        </w:tc>
        <w:tc>
          <w:tcPr>
            <w:tcW w:w="2023" w:type="dxa"/>
            <w:tcBorders>
              <w:left w:val="single" w:color="000000" w:sz="4" w:space="0"/>
              <w:tl2br w:val="nil"/>
              <w:tr2bl w:val="nil"/>
            </w:tcBorders>
            <w:vAlign w:val="center"/>
          </w:tcPr>
          <w:p w14:paraId="2BDE8E2D">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能源换算系数</w:t>
            </w:r>
          </w:p>
        </w:tc>
      </w:tr>
      <w:tr w14:paraId="78754F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bottom w:val="single" w:color="auto" w:sz="4" w:space="0"/>
              <w:right w:val="single" w:color="auto" w:sz="4" w:space="0"/>
              <w:tl2br w:val="nil"/>
              <w:tr2bl w:val="nil"/>
            </w:tcBorders>
            <w:vAlign w:val="center"/>
          </w:tcPr>
          <w:p w14:paraId="2CD2F4EF">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标准煤</w:t>
            </w:r>
          </w:p>
        </w:tc>
        <w:tc>
          <w:tcPr>
            <w:tcW w:w="2023" w:type="dxa"/>
            <w:tcBorders>
              <w:left w:val="single" w:color="auto" w:sz="4" w:space="0"/>
              <w:bottom w:val="single" w:color="auto" w:sz="4" w:space="0"/>
              <w:right w:val="single" w:color="auto" w:sz="4" w:space="0"/>
            </w:tcBorders>
            <w:vAlign w:val="center"/>
          </w:tcPr>
          <w:p w14:paraId="060DAA7C">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kWh/kgce</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left w:val="single" w:color="auto" w:sz="4" w:space="0"/>
              <w:bottom w:val="single" w:color="auto" w:sz="4" w:space="0"/>
            </w:tcBorders>
            <w:vAlign w:val="center"/>
          </w:tcPr>
          <w:p w14:paraId="793DF0D0">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8.14</w:t>
            </w:r>
          </w:p>
        </w:tc>
      </w:tr>
      <w:tr w14:paraId="6C25D2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top w:val="single" w:color="auto" w:sz="4" w:space="0"/>
              <w:bottom w:val="single" w:color="auto" w:sz="4" w:space="0"/>
              <w:right w:val="single" w:color="auto" w:sz="4" w:space="0"/>
              <w:tl2br w:val="nil"/>
              <w:tr2bl w:val="nil"/>
            </w:tcBorders>
            <w:vAlign w:val="center"/>
          </w:tcPr>
          <w:p w14:paraId="19F1635F">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天然气</w:t>
            </w:r>
          </w:p>
        </w:tc>
        <w:tc>
          <w:tcPr>
            <w:tcW w:w="2023" w:type="dxa"/>
            <w:tcBorders>
              <w:top w:val="single" w:color="auto" w:sz="4" w:space="0"/>
              <w:left w:val="single" w:color="auto" w:sz="4" w:space="0"/>
              <w:bottom w:val="single" w:color="auto" w:sz="4" w:space="0"/>
              <w:right w:val="single" w:color="auto" w:sz="4" w:space="0"/>
            </w:tcBorders>
            <w:vAlign w:val="center"/>
          </w:tcPr>
          <w:p w14:paraId="545326BF">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kWh/m³</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top w:val="single" w:color="auto" w:sz="4" w:space="0"/>
              <w:left w:val="single" w:color="auto" w:sz="4" w:space="0"/>
              <w:bottom w:val="single" w:color="auto" w:sz="4" w:space="0"/>
            </w:tcBorders>
            <w:vAlign w:val="center"/>
          </w:tcPr>
          <w:p w14:paraId="2268472B">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9.85</w:t>
            </w:r>
          </w:p>
        </w:tc>
      </w:tr>
      <w:tr w14:paraId="649906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top w:val="single" w:color="auto" w:sz="4" w:space="0"/>
              <w:bottom w:val="single" w:color="auto" w:sz="4" w:space="0"/>
              <w:right w:val="single" w:color="auto" w:sz="4" w:space="0"/>
              <w:tl2br w:val="nil"/>
              <w:tr2bl w:val="nil"/>
            </w:tcBorders>
            <w:vAlign w:val="center"/>
          </w:tcPr>
          <w:p w14:paraId="261518C8">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热力</w:t>
            </w:r>
          </w:p>
        </w:tc>
        <w:tc>
          <w:tcPr>
            <w:tcW w:w="2023" w:type="dxa"/>
            <w:tcBorders>
              <w:top w:val="single" w:color="auto" w:sz="4" w:space="0"/>
              <w:left w:val="single" w:color="auto" w:sz="4" w:space="0"/>
              <w:bottom w:val="single" w:color="auto" w:sz="4" w:space="0"/>
              <w:right w:val="single" w:color="auto" w:sz="4" w:space="0"/>
            </w:tcBorders>
            <w:vAlign w:val="center"/>
          </w:tcPr>
          <w:p w14:paraId="2AFAB804">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kWh/kWh</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top w:val="single" w:color="auto" w:sz="4" w:space="0"/>
              <w:left w:val="single" w:color="auto" w:sz="4" w:space="0"/>
              <w:bottom w:val="single" w:color="auto" w:sz="4" w:space="0"/>
            </w:tcBorders>
            <w:vAlign w:val="center"/>
          </w:tcPr>
          <w:p w14:paraId="50D1439F">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1.22</w:t>
            </w:r>
          </w:p>
        </w:tc>
      </w:tr>
      <w:tr w14:paraId="472429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top w:val="single" w:color="auto" w:sz="4" w:space="0"/>
              <w:bottom w:val="single" w:color="auto" w:sz="4" w:space="0"/>
              <w:right w:val="single" w:color="auto" w:sz="4" w:space="0"/>
              <w:tl2br w:val="nil"/>
              <w:tr2bl w:val="nil"/>
            </w:tcBorders>
            <w:vAlign w:val="center"/>
          </w:tcPr>
          <w:p w14:paraId="74484B77">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电力</w:t>
            </w:r>
          </w:p>
        </w:tc>
        <w:tc>
          <w:tcPr>
            <w:tcW w:w="2023" w:type="dxa"/>
            <w:tcBorders>
              <w:top w:val="single" w:color="auto" w:sz="4" w:space="0"/>
              <w:left w:val="single" w:color="auto" w:sz="4" w:space="0"/>
              <w:bottom w:val="single" w:color="auto" w:sz="4" w:space="0"/>
              <w:right w:val="single" w:color="auto" w:sz="4" w:space="0"/>
            </w:tcBorders>
            <w:vAlign w:val="center"/>
          </w:tcPr>
          <w:p w14:paraId="2E6B2446">
            <w:pPr>
              <w:numPr>
                <w:ilvl w:val="0"/>
                <w:numId w:val="0"/>
              </w:numPr>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kWh/kWh</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top w:val="single" w:color="auto" w:sz="4" w:space="0"/>
              <w:left w:val="single" w:color="auto" w:sz="4" w:space="0"/>
              <w:bottom w:val="single" w:color="auto" w:sz="4" w:space="0"/>
            </w:tcBorders>
            <w:vAlign w:val="center"/>
          </w:tcPr>
          <w:p w14:paraId="2EEF16B5">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2.6</w:t>
            </w:r>
          </w:p>
        </w:tc>
      </w:tr>
      <w:tr w14:paraId="0F5D7F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top w:val="single" w:color="auto" w:sz="4" w:space="0"/>
              <w:bottom w:val="single" w:color="auto" w:sz="4" w:space="0"/>
              <w:right w:val="single" w:color="auto" w:sz="4" w:space="0"/>
              <w:tl2br w:val="nil"/>
              <w:tr2bl w:val="nil"/>
            </w:tcBorders>
            <w:vAlign w:val="center"/>
          </w:tcPr>
          <w:p w14:paraId="67A3E222">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生物质能</w:t>
            </w:r>
          </w:p>
        </w:tc>
        <w:tc>
          <w:tcPr>
            <w:tcW w:w="2023" w:type="dxa"/>
            <w:tcBorders>
              <w:top w:val="single" w:color="auto" w:sz="4" w:space="0"/>
              <w:left w:val="single" w:color="auto" w:sz="4" w:space="0"/>
              <w:bottom w:val="single" w:color="auto" w:sz="4" w:space="0"/>
              <w:right w:val="single" w:color="auto" w:sz="4" w:space="0"/>
            </w:tcBorders>
            <w:vAlign w:val="center"/>
          </w:tcPr>
          <w:p w14:paraId="7D1E56BC">
            <w:pPr>
              <w:numPr>
                <w:ilvl w:val="0"/>
                <w:numId w:val="0"/>
              </w:numPr>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kWh/kWh</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top w:val="single" w:color="auto" w:sz="4" w:space="0"/>
              <w:left w:val="single" w:color="auto" w:sz="4" w:space="0"/>
              <w:bottom w:val="single" w:color="auto" w:sz="4" w:space="0"/>
            </w:tcBorders>
            <w:vAlign w:val="center"/>
          </w:tcPr>
          <w:p w14:paraId="52EABD7A">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0.20</w:t>
            </w:r>
          </w:p>
        </w:tc>
      </w:tr>
      <w:tr w14:paraId="4AFB32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5524" w:type="dxa"/>
            <w:tcBorders>
              <w:top w:val="single" w:color="auto" w:sz="4" w:space="0"/>
              <w:right w:val="single" w:color="auto" w:sz="4" w:space="0"/>
              <w:tl2br w:val="nil"/>
              <w:tr2bl w:val="nil"/>
            </w:tcBorders>
            <w:vAlign w:val="center"/>
          </w:tcPr>
          <w:p w14:paraId="0216A3CF">
            <w:pPr>
              <w:pStyle w:val="362"/>
              <w:numPr>
                <w:ilvl w:val="0"/>
                <w:numId w:val="0"/>
              </w:numPr>
              <w:tabs>
                <w:tab w:val="left" w:pos="420"/>
              </w:tabs>
              <w:overflowPunct w:val="0"/>
              <w:snapToGrid w:val="0"/>
              <w:spacing w:line="309" w:lineRule="exact"/>
              <w:jc w:val="center"/>
              <w:rPr>
                <w:rFonts w:hint="default" w:ascii="宋体" w:hAnsi="宋体" w:cs="宋体"/>
                <w:color w:val="auto"/>
                <w:sz w:val="18"/>
                <w:szCs w:val="18"/>
                <w:highlight w:val="none"/>
                <w:vertAlign w:val="baseline"/>
                <w:lang w:val="en-US" w:eastAsia="zh-CN"/>
              </w:rPr>
            </w:pPr>
            <w:r>
              <w:rPr>
                <w:rFonts w:hint="eastAsia" w:ascii="宋体" w:hAnsi="宋体" w:cs="宋体"/>
                <w:color w:val="auto"/>
                <w:sz w:val="18"/>
                <w:szCs w:val="18"/>
                <w:highlight w:val="none"/>
                <w:vertAlign w:val="baseline"/>
                <w:lang w:val="en-US" w:eastAsia="zh-CN"/>
              </w:rPr>
              <w:t>电力（光伏、风力等可再生能源发电）</w:t>
            </w:r>
          </w:p>
        </w:tc>
        <w:tc>
          <w:tcPr>
            <w:tcW w:w="2023" w:type="dxa"/>
            <w:tcBorders>
              <w:top w:val="single" w:color="auto" w:sz="4" w:space="0"/>
              <w:left w:val="single" w:color="auto" w:sz="4" w:space="0"/>
              <w:bottom w:val="single" w:color="auto" w:sz="8" w:space="0"/>
              <w:right w:val="single" w:color="auto" w:sz="4" w:space="0"/>
            </w:tcBorders>
            <w:vAlign w:val="center"/>
          </w:tcPr>
          <w:p w14:paraId="1824CD80">
            <w:pPr>
              <w:numPr>
                <w:ilvl w:val="0"/>
                <w:numId w:val="0"/>
              </w:numPr>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kWh/kWh</w:t>
            </w:r>
            <w:r>
              <w:rPr>
                <w:rFonts w:hint="default" w:ascii="Times New Roman" w:hAnsi="Times New Roman" w:cs="Times New Roman"/>
                <w:color w:val="auto"/>
                <w:sz w:val="18"/>
                <w:szCs w:val="18"/>
                <w:highlight w:val="none"/>
                <w:vertAlign w:val="subscript"/>
                <w:lang w:val="en-US" w:eastAsia="zh-CN"/>
              </w:rPr>
              <w:t>终端</w:t>
            </w:r>
          </w:p>
        </w:tc>
        <w:tc>
          <w:tcPr>
            <w:tcW w:w="2023" w:type="dxa"/>
            <w:tcBorders>
              <w:top w:val="single" w:color="auto" w:sz="4" w:space="0"/>
              <w:left w:val="single" w:color="auto" w:sz="4" w:space="0"/>
              <w:bottom w:val="single" w:color="auto" w:sz="8" w:space="0"/>
            </w:tcBorders>
            <w:vAlign w:val="center"/>
          </w:tcPr>
          <w:p w14:paraId="4F0A07E1">
            <w:pPr>
              <w:pStyle w:val="362"/>
              <w:numPr>
                <w:ilvl w:val="0"/>
                <w:numId w:val="0"/>
              </w:numPr>
              <w:tabs>
                <w:tab w:val="left" w:pos="420"/>
              </w:tabs>
              <w:overflowPunct w:val="0"/>
              <w:snapToGrid w:val="0"/>
              <w:spacing w:line="309" w:lineRule="exact"/>
              <w:jc w:val="center"/>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2.6</w:t>
            </w:r>
          </w:p>
        </w:tc>
      </w:tr>
    </w:tbl>
    <w:p w14:paraId="3DC079E5">
      <w:pPr>
        <w:overflowPunct w:val="0"/>
        <w:snapToGrid w:val="0"/>
        <w:spacing w:line="309" w:lineRule="exact"/>
        <w:rPr>
          <w:rFonts w:hint="default" w:ascii="宋体" w:hAnsi="宋体" w:cs="宋体"/>
          <w:bCs/>
          <w:color w:val="auto"/>
          <w:szCs w:val="21"/>
          <w:highlight w:val="none"/>
          <w:lang w:val="en-US" w:eastAsia="zh-CN"/>
        </w:rPr>
      </w:pPr>
    </w:p>
    <w:p w14:paraId="24B8AA76">
      <w:pPr>
        <w:pStyle w:val="362"/>
        <w:keepNext w:val="0"/>
        <w:keepLines w:val="0"/>
        <w:pageBreakBefore w:val="0"/>
        <w:widowControl w:val="0"/>
        <w:numPr>
          <w:ilvl w:val="0"/>
          <w:numId w:val="55"/>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color w:val="auto"/>
          <w:highlight w:val="none"/>
          <w:lang w:val="en-US" w:eastAsia="zh-CN"/>
        </w:rPr>
      </w:pPr>
      <w:r>
        <w:rPr>
          <w:rStyle w:val="698"/>
          <w:rFonts w:hint="eastAsia" w:ascii="宋体" w:hAnsi="宋体" w:eastAsia="宋体" w:cs="宋体"/>
          <w:color w:val="auto"/>
          <w:highlight w:val="none"/>
          <w:lang w:val="en-US" w:eastAsia="zh-CN"/>
        </w:rPr>
        <w:t xml:space="preserve">  不含可再生能源发电的建筑能耗综合值应按下式计算：</w:t>
      </w:r>
    </w:p>
    <w:p w14:paraId="1B504618">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auto"/>
        <w:rPr>
          <w:rFonts w:ascii="Times New Roman" w:hAnsi="Times New Roman"/>
          <w:color w:val="auto"/>
          <w:szCs w:val="21"/>
          <w:highlight w:val="none"/>
        </w:rPr>
      </w:pPr>
      <w:r>
        <w:rPr>
          <w:rFonts w:ascii="Times New Roman" w:hAnsi="Times New Roman"/>
          <w:color w:val="auto"/>
          <w:szCs w:val="21"/>
          <w:highlight w:val="none"/>
        </w:rPr>
        <w:fldChar w:fldCharType="begin"/>
      </w:r>
      <w:r>
        <w:rPr>
          <w:rFonts w:ascii="Times New Roman" w:hAnsi="Times New Roman"/>
          <w:color w:val="auto"/>
          <w:szCs w:val="21"/>
          <w:highlight w:val="none"/>
        </w:rPr>
        <w:instrText xml:space="preserve"> QUOTE </w:instrText>
      </w:r>
      <m:oMath>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η</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l</m:t>
            </m:r>
            <m:ctrlPr>
              <w:rPr>
                <w:rFonts w:ascii="Cambria Math" w:hAnsi="Cambria Math"/>
                <w:i/>
                <w:color w:val="auto"/>
                <w:szCs w:val="21"/>
                <w:highlight w:val="none"/>
              </w:rPr>
            </m:ctrlPr>
          </m:sub>
        </m:sSub>
        <m:r>
          <m:rPr>
            <m:sty m:val="p"/>
          </m:rPr>
          <w:rPr>
            <w:rFonts w:ascii="Cambria Math" w:hAnsi="Cambria Math"/>
            <w:color w:val="auto"/>
            <w:szCs w:val="21"/>
            <w:highlight w:val="none"/>
          </w:rPr>
          <m:t xml:space="preserve">=</m:t>
        </m:r>
        <m:f>
          <m:fPr>
            <m:ctrlPr>
              <w:rPr>
                <w:rFonts w:ascii="Cambria Math" w:hAnsi="Cambria Math"/>
                <w:i/>
                <w:color w:val="auto"/>
                <w:szCs w:val="21"/>
                <w:highlight w:val="none"/>
              </w:rPr>
            </m:ctrlPr>
          </m:fPr>
          <m:num>
            <m:r>
              <m:rPr>
                <m:sty m:val="p"/>
              </m:rPr>
              <w:rPr>
                <w:rFonts w:ascii="Cambria Math" w:hAnsi="Cambria Math"/>
                <w:color w:val="auto"/>
                <w:szCs w:val="21"/>
                <w:highlight w:val="none"/>
              </w:rPr>
              <m:t xml:space="preserve">Q−</m:t>
            </m:r>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Q</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r</m:t>
                </m:r>
                <m:ctrlPr>
                  <w:rPr>
                    <w:rFonts w:ascii="Cambria Math" w:hAnsi="Cambria Math"/>
                    <w:i/>
                    <w:color w:val="auto"/>
                    <w:szCs w:val="21"/>
                    <w:highlight w:val="none"/>
                  </w:rPr>
                </m:ctrlPr>
              </m:sub>
            </m:sSub>
            <m:ctrlPr>
              <w:rPr>
                <w:rFonts w:ascii="Cambria Math" w:hAnsi="Cambria Math"/>
                <w:i/>
                <w:color w:val="auto"/>
                <w:szCs w:val="21"/>
                <w:highlight w:val="none"/>
              </w:rPr>
            </m:ctrlPr>
          </m:num>
          <m:den>
            <m:sSub>
              <m:sSubPr>
                <m:ctrlPr>
                  <w:rPr>
                    <w:rFonts w:ascii="Cambria Math" w:hAnsi="Cambria Math"/>
                    <w:i/>
                    <w:color w:val="auto"/>
                    <w:szCs w:val="21"/>
                    <w:highlight w:val="none"/>
                  </w:rPr>
                </m:ctrlPr>
              </m:sSubPr>
              <m:e>
                <m:r>
                  <m:rPr>
                    <m:sty m:val="p"/>
                  </m:rPr>
                  <w:rPr>
                    <w:rFonts w:ascii="Cambria Math" w:hAnsi="Cambria Math"/>
                    <w:color w:val="auto"/>
                    <w:szCs w:val="21"/>
                    <w:highlight w:val="none"/>
                  </w:rPr>
                  <m:t xml:space="preserve">Q</m:t>
                </m:r>
                <m:ctrlPr>
                  <w:rPr>
                    <w:rFonts w:ascii="Cambria Math" w:hAnsi="Cambria Math"/>
                    <w:i/>
                    <w:color w:val="auto"/>
                    <w:szCs w:val="21"/>
                    <w:highlight w:val="none"/>
                  </w:rPr>
                </m:ctrlPr>
              </m:e>
              <m:sub>
                <m:r>
                  <m:rPr>
                    <m:sty m:val="p"/>
                  </m:rPr>
                  <w:rPr>
                    <w:rFonts w:ascii="Cambria Math" w:hAnsi="Cambria Math"/>
                    <w:color w:val="auto"/>
                    <w:szCs w:val="21"/>
                    <w:highlight w:val="none"/>
                  </w:rPr>
                  <m:t xml:space="preserve">r</m:t>
                </m:r>
                <m:ctrlPr>
                  <w:rPr>
                    <w:rFonts w:ascii="Cambria Math" w:hAnsi="Cambria Math"/>
                    <w:i/>
                    <w:color w:val="auto"/>
                    <w:szCs w:val="21"/>
                    <w:highlight w:val="none"/>
                  </w:rPr>
                </m:ctrlPr>
              </m:sub>
            </m:sSub>
            <m:ctrlPr>
              <w:rPr>
                <w:rFonts w:ascii="Cambria Math" w:hAnsi="Cambria Math"/>
                <w:i/>
                <w:color w:val="auto"/>
                <w:szCs w:val="21"/>
                <w:highlight w:val="none"/>
              </w:rPr>
            </m:ctrlPr>
          </m:den>
        </m:f>
        <m:r>
          <m:rPr>
            <m:sty m:val="p"/>
          </m:rPr>
          <w:rPr>
            <w:rFonts w:ascii="Cambria Math" w:hAnsi="Cambria Math"/>
            <w:color w:val="auto"/>
            <w:szCs w:val="21"/>
            <w:highlight w:val="none"/>
          </w:rPr>
          <m:t xml:space="preserve">×100%</m:t>
        </m:r>
      </m:oMath>
      <w:r>
        <w:rPr>
          <w:rFonts w:ascii="Times New Roman" w:hAnsi="Times New Roman"/>
          <w:color w:val="auto"/>
          <w:szCs w:val="21"/>
          <w:highlight w:val="none"/>
        </w:rPr>
        <w:instrText xml:space="preserve"> </w:instrText>
      </w:r>
      <w:r>
        <w:rPr>
          <w:rFonts w:ascii="Times New Roman" w:hAnsi="Times New Roman"/>
          <w:color w:val="auto"/>
          <w:szCs w:val="21"/>
          <w:highlight w:val="none"/>
        </w:rPr>
        <w:fldChar w:fldCharType="end"/>
      </w:r>
    </w:p>
    <w:p w14:paraId="2F5477B3">
      <w:pPr>
        <w:keepNext w:val="0"/>
        <w:keepLines w:val="0"/>
        <w:pageBreakBefore w:val="0"/>
        <w:widowControl w:val="0"/>
        <w:kinsoku/>
        <w:wordWrap/>
        <w:overflowPunct w:val="0"/>
        <w:topLinePunct w:val="0"/>
        <w:autoSpaceDE/>
        <w:autoSpaceDN/>
        <w:bidi w:val="0"/>
        <w:adjustRightInd/>
        <w:snapToGrid w:val="0"/>
        <w:spacing w:line="240" w:lineRule="auto"/>
        <w:jc w:val="right"/>
        <w:textAlignment w:val="auto"/>
        <w:rPr>
          <w:rFonts w:hint="default" w:hAnsi="Cambria Math" w:eastAsiaTheme="minorEastAsia"/>
          <w:i w:val="0"/>
          <w:color w:val="auto"/>
          <w:szCs w:val="21"/>
          <w:highlight w:val="none"/>
          <w:lang w:val="en-US" w:eastAsia="zh-CN"/>
        </w:rPr>
      </w:pPr>
      <w:r>
        <w:rPr>
          <w:rFonts w:hint="eastAsia" w:hAnsi="Cambria Math"/>
          <w:i w:val="0"/>
          <w:color w:val="auto"/>
          <w:szCs w:val="21"/>
          <w:highlight w:val="none"/>
          <w:lang w:val="en-US" w:eastAsia="zh-CN"/>
        </w:rPr>
        <w:t xml:space="preserve">      </w:t>
      </w:r>
      <m:oMath>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sub>
        </m:sSub>
        <m:r>
          <m:rPr/>
          <w:rPr>
            <w:rFonts w:ascii="Cambria Math" w:hAnsi="Cambria Math"/>
            <w:color w:val="auto"/>
            <w:szCs w:val="21"/>
            <w:highlight w:val="none"/>
          </w:rPr>
          <m:t>=</m:t>
        </m:r>
        <m:f>
          <m:fPr>
            <m:ctrlPr>
              <w:rPr>
                <w:rFonts w:ascii="Cambria Math" w:hAnsi="Cambria Math"/>
                <w:i/>
                <w:color w:val="auto"/>
                <w:szCs w:val="21"/>
                <w:highlight w:val="none"/>
              </w:rPr>
            </m:ctrlPr>
          </m:fPr>
          <m:num>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h</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c</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l</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w</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sub>
            </m:sSub>
            <m:r>
              <m:rPr/>
              <w:rPr>
                <w:rFonts w:ascii="Cambria Math" w:hAnsi="Cambria Math"/>
                <w:color w:val="auto"/>
                <w:szCs w:val="21"/>
                <w:highlight w:val="none"/>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f</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i</m:t>
                </m:r>
                <m:ctrlPr>
                  <w:rPr>
                    <w:rFonts w:ascii="Cambria Math" w:hAnsi="Cambria Math"/>
                    <w:i/>
                    <w:color w:val="auto"/>
                    <w:szCs w:val="21"/>
                    <w:highlight w:val="none"/>
                  </w:rPr>
                </m:ctrlPr>
              </m:sub>
            </m:sSub>
            <m:ctrlPr>
              <w:rPr>
                <w:rFonts w:ascii="Cambria Math" w:hAnsi="Cambria Math"/>
                <w:i/>
                <w:color w:val="auto"/>
                <w:szCs w:val="21"/>
                <w:highlight w:val="none"/>
              </w:rPr>
            </m:ctrlPr>
          </m:num>
          <m:den>
            <m:r>
              <m:rPr/>
              <w:rPr>
                <w:rFonts w:hint="default" w:ascii="Cambria Math" w:hAnsi="Cambria Math"/>
                <w:color w:val="auto"/>
                <w:szCs w:val="21"/>
                <w:highlight w:val="none"/>
                <w:lang w:val="en-US" w:eastAsia="zh-CN"/>
              </w:rPr>
              <m:t>A</m:t>
            </m:r>
            <m:ctrlPr>
              <w:rPr>
                <w:rFonts w:ascii="Cambria Math" w:hAnsi="Cambria Math"/>
                <w:i/>
                <w:color w:val="auto"/>
                <w:szCs w:val="21"/>
                <w:highlight w:val="none"/>
              </w:rPr>
            </m:ctrlPr>
          </m:den>
        </m:f>
      </m:oMath>
      <w:r>
        <w:rPr>
          <w:rFonts w:hint="eastAsia" w:hAnsi="Cambria Math"/>
          <w:i w:val="0"/>
          <w:color w:val="auto"/>
          <w:szCs w:val="21"/>
          <w:highlight w:val="none"/>
          <w:lang w:val="en-US" w:eastAsia="zh-CN"/>
        </w:rPr>
        <w:t xml:space="preserve">  </w:t>
      </w:r>
      <w:r>
        <w:rPr>
          <w:rFonts w:hint="eastAsia" w:ascii="Times New Roman" w:hAnsi="Times New Roman"/>
          <w:color w:val="auto"/>
          <w:szCs w:val="21"/>
          <w:highlight w:val="none"/>
        </w:rPr>
        <w:t xml:space="preserve"> </w:t>
      </w:r>
      <w:r>
        <w:rPr>
          <w:rFonts w:hint="eastAsia"/>
          <w:color w:val="auto"/>
          <w:szCs w:val="21"/>
          <w:highlight w:val="none"/>
          <w:lang w:val="en-US" w:eastAsia="zh-CN"/>
        </w:rPr>
        <w:t xml:space="preserve"> </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rPr>
        <w:t>（</w:t>
      </w:r>
      <w:r>
        <w:rPr>
          <w:rFonts w:hint="default" w:ascii="Times New Roman" w:hAnsi="Times New Roman" w:cs="Times New Roman"/>
          <w:color w:val="auto"/>
          <w:szCs w:val="21"/>
          <w:highlight w:val="none"/>
        </w:rPr>
        <w:t>A.2.</w:t>
      </w:r>
      <w:r>
        <w:rPr>
          <w:rFonts w:hint="default" w:ascii="Times New Roman" w:hAnsi="Times New Roman" w:cs="Times New Roman"/>
          <w:color w:val="auto"/>
          <w:szCs w:val="21"/>
          <w:highlight w:val="none"/>
          <w:lang w:val="en-US" w:eastAsia="zh-CN"/>
        </w:rPr>
        <w:t>2</w:t>
      </w:r>
      <w:r>
        <w:rPr>
          <w:rFonts w:ascii="Times New Roman" w:hAnsi="Times New Roman"/>
          <w:color w:val="auto"/>
          <w:szCs w:val="21"/>
          <w:highlight w:val="none"/>
        </w:rPr>
        <w:t xml:space="preserve">） </w:t>
      </w:r>
    </w:p>
    <w:p w14:paraId="688352C3">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auto"/>
        <w:rPr>
          <w:rFonts w:hAnsi="Cambria Math"/>
          <w:i w:val="0"/>
          <w:color w:val="auto"/>
          <w:szCs w:val="21"/>
          <w:highlight w:val="none"/>
        </w:rPr>
      </w:pPr>
    </w:p>
    <w:p w14:paraId="75ADFB0F">
      <w:pPr>
        <w:keepNext w:val="0"/>
        <w:keepLines w:val="0"/>
        <w:pageBreakBefore w:val="0"/>
        <w:widowControl w:val="0"/>
        <w:kinsoku/>
        <w:wordWrap/>
        <w:overflowPunct w:val="0"/>
        <w:topLinePunct w:val="0"/>
        <w:autoSpaceDE/>
        <w:autoSpaceDN/>
        <w:bidi w:val="0"/>
        <w:adjustRightInd/>
        <w:snapToGrid w:val="0"/>
        <w:spacing w:line="240" w:lineRule="auto"/>
        <w:jc w:val="both"/>
        <w:textAlignment w:val="auto"/>
        <w:rPr>
          <w:rFonts w:hint="eastAsia" w:hAnsi="Cambria Math"/>
          <w:i w:val="0"/>
          <w:color w:val="auto"/>
          <w:szCs w:val="21"/>
          <w:highlight w:val="none"/>
          <w:lang w:val="en-US" w:eastAsia="zh-CN"/>
        </w:rPr>
      </w:pPr>
      <w:r>
        <w:rPr>
          <w:rFonts w:hint="eastAsia" w:hAnsi="Cambria Math"/>
          <w:i w:val="0"/>
          <w:color w:val="auto"/>
          <w:szCs w:val="21"/>
          <w:highlight w:val="none"/>
          <w:lang w:val="en-US" w:eastAsia="zh-CN"/>
        </w:rPr>
        <w:t>式中：</w:t>
      </w: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h</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年供暖系统能源消耗，</w:t>
      </w:r>
      <w:r>
        <w:rPr>
          <w:rFonts w:hint="default" w:ascii="Times New Roman" w:hAnsi="Times New Roman" w:eastAsia="宋体" w:cs="Times New Roman"/>
          <w:i w:val="0"/>
          <w:color w:val="auto"/>
          <w:szCs w:val="21"/>
          <w:highlight w:val="none"/>
          <w:lang w:val="en-US" w:eastAsia="zh-CN"/>
        </w:rPr>
        <w:t>kWh</w:t>
      </w:r>
      <w:r>
        <w:rPr>
          <w:rFonts w:hint="eastAsia" w:ascii="宋体" w:hAnsi="宋体" w:eastAsia="宋体" w:cs="宋体"/>
          <w:i w:val="0"/>
          <w:color w:val="auto"/>
          <w:szCs w:val="21"/>
          <w:highlight w:val="none"/>
          <w:lang w:val="en-US" w:eastAsia="zh-CN"/>
        </w:rPr>
        <w:t>；</w:t>
      </w:r>
      <w:r>
        <w:rPr>
          <w:rFonts w:hint="eastAsia" w:hAnsi="Cambria Math"/>
          <w:i w:val="0"/>
          <w:color w:val="auto"/>
          <w:szCs w:val="21"/>
          <w:highlight w:val="none"/>
          <w:lang w:val="en-US" w:eastAsia="zh-CN"/>
        </w:rPr>
        <w:t xml:space="preserve"> </w:t>
      </w:r>
    </w:p>
    <w:p w14:paraId="557A8917">
      <w:pPr>
        <w:keepNext w:val="0"/>
        <w:keepLines w:val="0"/>
        <w:pageBreakBefore w:val="0"/>
        <w:widowControl w:val="0"/>
        <w:kinsoku/>
        <w:wordWrap/>
        <w:overflowPunct w:val="0"/>
        <w:topLinePunct w:val="0"/>
        <w:autoSpaceDE/>
        <w:autoSpaceDN/>
        <w:bidi w:val="0"/>
        <w:adjustRightInd/>
        <w:snapToGrid w:val="0"/>
        <w:spacing w:line="240" w:lineRule="auto"/>
        <w:jc w:val="both"/>
        <w:textAlignment w:val="auto"/>
        <w:rPr>
          <w:rFonts w:hint="eastAsia" w:ascii="宋体" w:hAnsi="宋体" w:eastAsia="宋体" w:cs="宋体"/>
          <w:i w:val="0"/>
          <w:color w:val="auto"/>
          <w:szCs w:val="21"/>
          <w:highlight w:val="none"/>
          <w:lang w:val="en-US" w:eastAsia="zh-CN"/>
        </w:rPr>
      </w:pPr>
      <w:r>
        <w:rPr>
          <w:rFonts w:hint="eastAsia" w:hAnsi="Cambria Math"/>
          <w:i w:val="0"/>
          <w:color w:val="auto"/>
          <w:szCs w:val="21"/>
          <w:highlight w:val="none"/>
          <w:lang w:val="en-US" w:eastAsia="zh-CN"/>
        </w:rPr>
        <w:t xml:space="preserve">      </w:t>
      </w: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c</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年供冷系统能源消耗，</w:t>
      </w:r>
      <w:r>
        <w:rPr>
          <w:rFonts w:hint="default" w:ascii="Times New Roman" w:hAnsi="Times New Roman" w:eastAsia="宋体" w:cs="Times New Roman"/>
          <w:i w:val="0"/>
          <w:color w:val="auto"/>
          <w:szCs w:val="21"/>
          <w:highlight w:val="none"/>
          <w:lang w:val="en-US" w:eastAsia="zh-CN"/>
        </w:rPr>
        <w:t>kWh</w:t>
      </w:r>
      <w:r>
        <w:rPr>
          <w:rFonts w:hint="eastAsia" w:ascii="宋体" w:hAnsi="宋体" w:eastAsia="宋体" w:cs="宋体"/>
          <w:i w:val="0"/>
          <w:color w:val="auto"/>
          <w:szCs w:val="21"/>
          <w:highlight w:val="none"/>
          <w:lang w:val="en-US" w:eastAsia="zh-CN"/>
        </w:rPr>
        <w:t>；</w:t>
      </w:r>
    </w:p>
    <w:p w14:paraId="428F193A">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eastAsia" w:ascii="宋体" w:hAnsi="宋体" w:eastAsia="宋体" w:cs="宋体"/>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l</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年照明系统能源消耗，</w:t>
      </w:r>
      <w:r>
        <w:rPr>
          <w:rFonts w:hint="default" w:ascii="Times New Roman" w:hAnsi="Times New Roman" w:eastAsia="宋体" w:cs="Times New Roman"/>
          <w:i w:val="0"/>
          <w:color w:val="auto"/>
          <w:szCs w:val="21"/>
          <w:highlight w:val="none"/>
          <w:lang w:val="en-US" w:eastAsia="zh-CN"/>
        </w:rPr>
        <w:t>kWh</w:t>
      </w:r>
      <w:r>
        <w:rPr>
          <w:rFonts w:hint="eastAsia" w:ascii="宋体" w:hAnsi="宋体" w:eastAsia="宋体" w:cs="宋体"/>
          <w:i w:val="0"/>
          <w:color w:val="auto"/>
          <w:szCs w:val="21"/>
          <w:highlight w:val="none"/>
          <w:lang w:val="en-US" w:eastAsia="zh-CN"/>
        </w:rPr>
        <w:t>；</w:t>
      </w:r>
    </w:p>
    <w:p w14:paraId="11F07B7D">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eastAsia" w:ascii="宋体" w:hAnsi="宋体" w:eastAsia="宋体" w:cs="宋体"/>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w</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年生活热水系统能源消耗，</w:t>
      </w:r>
      <w:r>
        <w:rPr>
          <w:rFonts w:hint="default" w:ascii="Times New Roman" w:hAnsi="Times New Roman" w:eastAsia="宋体" w:cs="Times New Roman"/>
          <w:i w:val="0"/>
          <w:color w:val="auto"/>
          <w:szCs w:val="21"/>
          <w:highlight w:val="none"/>
          <w:lang w:val="en-US" w:eastAsia="zh-CN"/>
        </w:rPr>
        <w:t>kWh</w:t>
      </w:r>
      <w:r>
        <w:rPr>
          <w:rFonts w:hint="eastAsia" w:ascii="宋体" w:hAnsi="宋体" w:eastAsia="宋体" w:cs="宋体"/>
          <w:i w:val="0"/>
          <w:color w:val="auto"/>
          <w:szCs w:val="21"/>
          <w:highlight w:val="none"/>
          <w:lang w:val="en-US" w:eastAsia="zh-CN"/>
        </w:rPr>
        <w:t>；</w:t>
      </w:r>
    </w:p>
    <w:p w14:paraId="4D4EE902">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eastAsia" w:ascii="宋体" w:hAnsi="宋体" w:eastAsia="宋体" w:cs="宋体"/>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年电梯系统能源消耗，</w:t>
      </w:r>
      <w:r>
        <w:rPr>
          <w:rFonts w:hint="default" w:ascii="Times New Roman" w:hAnsi="Times New Roman" w:eastAsia="宋体" w:cs="Times New Roman"/>
          <w:i w:val="0"/>
          <w:color w:val="auto"/>
          <w:szCs w:val="21"/>
          <w:highlight w:val="none"/>
          <w:lang w:val="en-US" w:eastAsia="zh-CN"/>
        </w:rPr>
        <w:t>kWh</w:t>
      </w:r>
      <w:r>
        <w:rPr>
          <w:rFonts w:hint="eastAsia" w:ascii="宋体" w:hAnsi="宋体" w:eastAsia="宋体" w:cs="宋体"/>
          <w:i w:val="0"/>
          <w:color w:val="auto"/>
          <w:szCs w:val="21"/>
          <w:highlight w:val="none"/>
          <w:lang w:val="en-US" w:eastAsia="zh-CN"/>
        </w:rPr>
        <w:t>。</w:t>
      </w:r>
    </w:p>
    <w:p w14:paraId="2C1CEBED">
      <w:pPr>
        <w:pStyle w:val="362"/>
        <w:keepNext w:val="0"/>
        <w:keepLines w:val="0"/>
        <w:pageBreakBefore w:val="0"/>
        <w:widowControl w:val="0"/>
        <w:numPr>
          <w:ilvl w:val="0"/>
          <w:numId w:val="55"/>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bCs/>
          <w:color w:val="auto"/>
          <w:highlight w:val="none"/>
          <w:lang w:val="en-US" w:eastAsia="zh-CN"/>
        </w:rPr>
      </w:pPr>
      <w:r>
        <w:rPr>
          <w:rStyle w:val="698"/>
          <w:rFonts w:hint="eastAsia" w:ascii="宋体" w:hAnsi="宋体" w:eastAsia="宋体" w:cs="宋体"/>
          <w:bCs/>
          <w:color w:val="auto"/>
          <w:highlight w:val="none"/>
          <w:lang w:val="en-US" w:eastAsia="zh-CN"/>
        </w:rPr>
        <w:t xml:space="preserve">  建筑本体节能率应按下式计算：</w:t>
      </w:r>
    </w:p>
    <w:p w14:paraId="50A49A18">
      <w:pPr>
        <w:keepNext w:val="0"/>
        <w:keepLines w:val="0"/>
        <w:pageBreakBefore w:val="0"/>
        <w:widowControl w:val="0"/>
        <w:kinsoku/>
        <w:wordWrap/>
        <w:overflowPunct w:val="0"/>
        <w:topLinePunct w:val="0"/>
        <w:autoSpaceDE/>
        <w:autoSpaceDN/>
        <w:bidi w:val="0"/>
        <w:adjustRightInd/>
        <w:snapToGrid w:val="0"/>
        <w:spacing w:line="360" w:lineRule="auto"/>
        <w:jc w:val="right"/>
        <w:textAlignment w:val="auto"/>
        <w:rPr>
          <w:rFonts w:ascii="Times New Roman" w:hAnsi="Times New Roman"/>
          <w:color w:val="auto"/>
          <w:szCs w:val="21"/>
          <w:highlight w:val="none"/>
        </w:rPr>
      </w:pPr>
      <w:r>
        <w:rPr>
          <w:rFonts w:hint="eastAsia" w:hAnsi="Cambria Math"/>
          <w:i w:val="0"/>
          <w:color w:val="auto"/>
          <w:szCs w:val="21"/>
          <w:highlight w:val="none"/>
          <w:lang w:val="en-US" w:eastAsia="zh-CN"/>
        </w:rPr>
        <w:t xml:space="preserve">  </w:t>
      </w:r>
      <m:oMath>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η</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sub>
        </m:sSub>
        <m:r>
          <m:rPr/>
          <w:rPr>
            <w:rFonts w:ascii="Cambria Math" w:hAnsi="Cambria Math"/>
            <w:color w:val="auto"/>
            <w:szCs w:val="21"/>
            <w:highlight w:val="none"/>
          </w:rPr>
          <m:t>=</m:t>
        </m:r>
        <m:f>
          <m:fPr>
            <m:ctrlPr>
              <w:rPr>
                <w:rFonts w:ascii="Cambria Math" w:hAnsi="Cambria Math"/>
                <w:i/>
                <w:color w:val="auto"/>
                <w:szCs w:val="21"/>
                <w:highlight w:val="none"/>
              </w:rPr>
            </m:ctrlPr>
          </m:fPr>
          <m:num>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ctrlPr>
              <w:rPr>
                <w:rFonts w:ascii="Cambria Math" w:hAnsi="Cambria Math"/>
                <w:i/>
                <w:color w:val="auto"/>
                <w:szCs w:val="21"/>
                <w:highlight w:val="none"/>
              </w:rPr>
            </m:ctrlPr>
          </m:num>
          <m:den>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m:t>
                </m:r>
                <m:ctrlPr>
                  <w:rPr>
                    <w:rFonts w:ascii="Cambria Math" w:hAnsi="Cambria Math"/>
                    <w:i/>
                    <w:color w:val="auto"/>
                    <w:szCs w:val="21"/>
                    <w:highlight w:val="none"/>
                  </w:rPr>
                </m:ctrlPr>
              </m:sub>
            </m:sSub>
            <m:ctrlPr>
              <w:rPr>
                <w:rFonts w:ascii="Cambria Math" w:hAnsi="Cambria Math"/>
                <w:i/>
                <w:color w:val="auto"/>
                <w:szCs w:val="21"/>
                <w:highlight w:val="none"/>
              </w:rPr>
            </m:ctrlPr>
          </m:den>
        </m:f>
        <m:r>
          <m:rPr>
            <m:sty m:val="p"/>
          </m:rPr>
          <w:rPr>
            <w:rFonts w:hint="eastAsia" w:hAnsi="Cambria Math"/>
            <w:color w:val="auto"/>
            <w:szCs w:val="21"/>
            <w:highlight w:val="none"/>
            <w:lang w:val="en-US" w:eastAsia="zh-CN"/>
          </w:rPr>
          <m:t>×</m:t>
        </m:r>
        <m:r>
          <m:rPr>
            <m:sty m:val="p"/>
          </m:rPr>
          <w:rPr>
            <w:rFonts w:hint="default" w:ascii="Cambria Math" w:hAnsi="Cambria Math" w:cs="Times New Roman"/>
            <w:color w:val="auto"/>
            <w:szCs w:val="21"/>
            <w:highlight w:val="none"/>
            <w:lang w:val="en-US" w:eastAsia="zh-CN"/>
          </w:rPr>
          <m:t>100%</m:t>
        </m:r>
      </m:oMath>
      <w:r>
        <w:rPr>
          <w:rFonts w:hint="eastAsia" w:hAnsi="Cambria Math"/>
          <w:i w:val="0"/>
          <w:color w:val="auto"/>
          <w:szCs w:val="21"/>
          <w:highlight w:val="none"/>
          <w:lang w:val="en-US" w:eastAsia="zh-CN"/>
        </w:rPr>
        <w:t xml:space="preserve">  </w:t>
      </w:r>
      <w:r>
        <w:rPr>
          <w:rFonts w:hint="eastAsia"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rPr>
        <w:t>（</w:t>
      </w:r>
      <w:r>
        <w:rPr>
          <w:rFonts w:hint="default" w:ascii="Times New Roman" w:hAnsi="Times New Roman" w:cs="Times New Roman"/>
          <w:color w:val="auto"/>
          <w:szCs w:val="21"/>
          <w:highlight w:val="none"/>
        </w:rPr>
        <w:t>A.2.</w:t>
      </w:r>
      <w:r>
        <w:rPr>
          <w:rFonts w:hint="eastAsia" w:cs="Times New Roman"/>
          <w:color w:val="auto"/>
          <w:szCs w:val="21"/>
          <w:highlight w:val="none"/>
          <w:lang w:val="en-US" w:eastAsia="zh-CN"/>
        </w:rPr>
        <w:t>3</w:t>
      </w:r>
      <w:r>
        <w:rPr>
          <w:rFonts w:ascii="Times New Roman" w:hAnsi="Times New Roman"/>
          <w:color w:val="auto"/>
          <w:szCs w:val="21"/>
          <w:highlight w:val="none"/>
        </w:rPr>
        <w:t xml:space="preserve">） </w:t>
      </w:r>
    </w:p>
    <w:p w14:paraId="36F7A2B5">
      <w:pPr>
        <w:keepNext w:val="0"/>
        <w:keepLines w:val="0"/>
        <w:pageBreakBefore w:val="0"/>
        <w:widowControl w:val="0"/>
        <w:kinsoku/>
        <w:wordWrap/>
        <w:overflowPunct w:val="0"/>
        <w:topLinePunct w:val="0"/>
        <w:autoSpaceDE/>
        <w:autoSpaceDN/>
        <w:bidi w:val="0"/>
        <w:adjustRightInd/>
        <w:snapToGrid w:val="0"/>
        <w:spacing w:line="240" w:lineRule="auto"/>
        <w:jc w:val="both"/>
        <w:textAlignment w:val="auto"/>
        <w:rPr>
          <w:rFonts w:hint="eastAsia" w:hAnsi="Cambria Math"/>
          <w:i w:val="0"/>
          <w:color w:val="auto"/>
          <w:szCs w:val="21"/>
          <w:highlight w:val="none"/>
          <w:lang w:val="en-US" w:eastAsia="zh-CN"/>
        </w:rPr>
      </w:pPr>
      <w:r>
        <w:rPr>
          <w:rFonts w:hint="eastAsia" w:hAnsi="Cambria Math"/>
          <w:i w:val="0"/>
          <w:color w:val="auto"/>
          <w:szCs w:val="21"/>
          <w:highlight w:val="none"/>
          <w:lang w:val="en-US" w:eastAsia="zh-CN"/>
        </w:rPr>
        <w:t>式中：</w:t>
      </w:r>
      <m:oMath>
        <m:sSub>
          <m:sSubPr>
            <m:ctrlPr>
              <w:rPr>
                <w:rFonts w:ascii="Cambria Math" w:hAnsi="Cambria Math"/>
                <w:i/>
                <w:color w:val="auto"/>
                <w:szCs w:val="21"/>
                <w:highlight w:val="none"/>
                <w:lang w:val="en-US"/>
              </w:rPr>
            </m:ctrlPr>
          </m:sSubPr>
          <m:e>
            <m:r>
              <m:rPr/>
              <w:rPr>
                <w:rFonts w:hint="default" w:ascii="Cambria Math" w:hAnsi="Cambria Math"/>
                <w:color w:val="auto"/>
                <w:szCs w:val="21"/>
                <w:highlight w:val="none"/>
                <w:lang w:val="en-US" w:eastAsia="zh-CN"/>
              </w:rPr>
              <m:t>η</m:t>
            </m:r>
            <m:ctrlPr>
              <w:rPr>
                <w:rFonts w:ascii="Cambria Math" w:hAnsi="Cambria Math"/>
                <w:i/>
                <w:color w:val="auto"/>
                <w:szCs w:val="21"/>
                <w:highlight w:val="none"/>
                <w:lang w:val="en-US"/>
              </w:rPr>
            </m:ctrlPr>
          </m:e>
          <m:sub>
            <m:r>
              <m:rPr/>
              <w:rPr>
                <w:rFonts w:hint="default" w:ascii="Cambria Math" w:hAnsi="Cambria Math"/>
                <w:color w:val="auto"/>
                <w:szCs w:val="21"/>
                <w:highlight w:val="none"/>
                <w:lang w:val="en-US" w:eastAsia="zh-CN"/>
              </w:rPr>
              <m:t>e</m:t>
            </m:r>
            <m:ctrlPr>
              <w:rPr>
                <w:rFonts w:ascii="Cambria Math" w:hAnsi="Cambria Math"/>
                <w:i/>
                <w:color w:val="auto"/>
                <w:szCs w:val="21"/>
                <w:highlight w:val="none"/>
                <w:lang w:val="en-US"/>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建筑</w:t>
      </w:r>
      <w:r>
        <w:rPr>
          <w:rFonts w:hint="eastAsia" w:ascii="宋体" w:hAnsi="宋体" w:cs="宋体"/>
          <w:i w:val="0"/>
          <w:color w:val="auto"/>
          <w:szCs w:val="21"/>
          <w:highlight w:val="none"/>
          <w:lang w:val="en-US" w:eastAsia="zh-CN"/>
        </w:rPr>
        <w:t>本体</w:t>
      </w:r>
      <w:r>
        <w:rPr>
          <w:rFonts w:hint="eastAsia" w:ascii="宋体" w:hAnsi="宋体" w:eastAsia="宋体" w:cs="宋体"/>
          <w:i w:val="0"/>
          <w:color w:val="auto"/>
          <w:szCs w:val="21"/>
          <w:highlight w:val="none"/>
          <w:lang w:val="en-US" w:eastAsia="zh-CN"/>
        </w:rPr>
        <w:t>节能率，</w:t>
      </w:r>
      <w:r>
        <w:rPr>
          <w:rFonts w:hint="default" w:ascii="Times New Roman" w:hAnsi="Times New Roman" w:eastAsia="宋体"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w:t>
      </w:r>
      <w:r>
        <w:rPr>
          <w:rFonts w:hint="eastAsia" w:hAnsi="Cambria Math"/>
          <w:i w:val="0"/>
          <w:color w:val="auto"/>
          <w:szCs w:val="21"/>
          <w:highlight w:val="none"/>
          <w:lang w:val="en-US" w:eastAsia="zh-CN"/>
        </w:rPr>
        <w:t xml:space="preserve"> </w:t>
      </w:r>
    </w:p>
    <w:p w14:paraId="0D3F942A">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eastAsia" w:ascii="宋体" w:hAnsi="宋体" w:eastAsia="宋体" w:cs="宋体"/>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设计建筑</w:t>
      </w:r>
      <w:r>
        <w:rPr>
          <w:rFonts w:hint="eastAsia" w:ascii="宋体" w:hAnsi="宋体" w:cs="宋体"/>
          <w:i w:val="0"/>
          <w:color w:val="auto"/>
          <w:szCs w:val="21"/>
          <w:highlight w:val="none"/>
          <w:lang w:val="en-US" w:eastAsia="zh-CN"/>
        </w:rPr>
        <w:t>不含可再生能源发电</w:t>
      </w:r>
      <w:r>
        <w:rPr>
          <w:rFonts w:hint="eastAsia" w:ascii="宋体" w:hAnsi="宋体" w:eastAsia="宋体" w:cs="宋体"/>
          <w:i w:val="0"/>
          <w:color w:val="auto"/>
          <w:szCs w:val="21"/>
          <w:highlight w:val="none"/>
          <w:lang w:val="en-US" w:eastAsia="zh-CN"/>
        </w:rPr>
        <w:t>的建筑能耗综合值，</w:t>
      </w:r>
      <w:r>
        <w:rPr>
          <w:rFonts w:hint="default" w:ascii="Times New Roman" w:hAnsi="Times New Roman" w:eastAsia="宋体" w:cs="Times New Roman"/>
          <w:i w:val="0"/>
          <w:color w:val="auto"/>
          <w:szCs w:val="21"/>
          <w:highlight w:val="none"/>
          <w:lang w:val="en-US" w:eastAsia="zh-CN"/>
        </w:rPr>
        <w:t>kWh/</w:t>
      </w:r>
      <w:r>
        <w:rPr>
          <w:rFonts w:hint="default" w:ascii="Times New Roman" w:hAnsi="Times New Roman" w:cs="Times New Roman"/>
          <w:bCs/>
          <w:color w:val="auto"/>
          <w:szCs w:val="21"/>
          <w:highlight w:val="none"/>
          <w:lang w:val="en-US" w:eastAsia="zh-CN"/>
        </w:rPr>
        <w:t>m</w:t>
      </w:r>
      <w:r>
        <w:rPr>
          <w:rFonts w:hint="default" w:ascii="Times New Roman" w:hAnsi="Times New Roman" w:cs="Times New Roman"/>
          <w:bCs/>
          <w:color w:val="auto"/>
          <w:szCs w:val="21"/>
          <w:highlight w:val="none"/>
          <w:vertAlign w:val="superscript"/>
          <w:lang w:val="en-US" w:eastAsia="zh-CN"/>
        </w:rPr>
        <w:t>2</w:t>
      </w:r>
      <w:r>
        <w:rPr>
          <w:rFonts w:hint="eastAsia" w:ascii="宋体" w:hAnsi="宋体" w:eastAsia="宋体" w:cs="宋体"/>
          <w:i w:val="0"/>
          <w:color w:val="auto"/>
          <w:szCs w:val="21"/>
          <w:highlight w:val="none"/>
          <w:lang w:val="en-US" w:eastAsia="zh-CN"/>
        </w:rPr>
        <w:t>。</w:t>
      </w:r>
    </w:p>
    <w:p w14:paraId="366B96BD">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eastAsia" w:ascii="宋体" w:hAnsi="宋体" w:eastAsia="宋体" w:cs="宋体"/>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R</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基准建筑的建筑能耗综合值，</w:t>
      </w:r>
      <w:r>
        <w:rPr>
          <w:rFonts w:hint="default" w:ascii="Times New Roman" w:hAnsi="Times New Roman" w:eastAsia="宋体" w:cs="Times New Roman"/>
          <w:i w:val="0"/>
          <w:color w:val="auto"/>
          <w:szCs w:val="21"/>
          <w:highlight w:val="none"/>
          <w:lang w:val="en-US" w:eastAsia="zh-CN"/>
        </w:rPr>
        <w:t>kWh/</w:t>
      </w:r>
      <w:r>
        <w:rPr>
          <w:rFonts w:hint="default" w:ascii="Times New Roman" w:hAnsi="Times New Roman" w:cs="Times New Roman"/>
          <w:bCs/>
          <w:color w:val="auto"/>
          <w:szCs w:val="21"/>
          <w:highlight w:val="none"/>
          <w:lang w:val="en-US" w:eastAsia="zh-CN"/>
        </w:rPr>
        <w:t>m</w:t>
      </w:r>
      <w:r>
        <w:rPr>
          <w:rFonts w:hint="default" w:ascii="Times New Roman" w:hAnsi="Times New Roman" w:cs="Times New Roman"/>
          <w:bCs/>
          <w:color w:val="auto"/>
          <w:szCs w:val="21"/>
          <w:highlight w:val="none"/>
          <w:vertAlign w:val="superscript"/>
          <w:lang w:val="en-US" w:eastAsia="zh-CN"/>
        </w:rPr>
        <w:t>2</w:t>
      </w:r>
      <w:r>
        <w:rPr>
          <w:rFonts w:hint="eastAsia" w:ascii="宋体" w:hAnsi="宋体" w:eastAsia="宋体" w:cs="宋体"/>
          <w:i w:val="0"/>
          <w:color w:val="auto"/>
          <w:szCs w:val="21"/>
          <w:highlight w:val="none"/>
          <w:lang w:val="en-US" w:eastAsia="zh-CN"/>
        </w:rPr>
        <w:t>。</w:t>
      </w:r>
    </w:p>
    <w:p w14:paraId="4353120F">
      <w:pPr>
        <w:pStyle w:val="362"/>
        <w:keepNext w:val="0"/>
        <w:keepLines w:val="0"/>
        <w:pageBreakBefore w:val="0"/>
        <w:widowControl w:val="0"/>
        <w:numPr>
          <w:ilvl w:val="0"/>
          <w:numId w:val="55"/>
        </w:numPr>
        <w:kinsoku/>
        <w:wordWrap/>
        <w:overflowPunct/>
        <w:topLinePunct w:val="0"/>
        <w:autoSpaceDE/>
        <w:autoSpaceDN/>
        <w:bidi w:val="0"/>
        <w:adjustRightInd/>
        <w:snapToGrid w:val="0"/>
        <w:spacing w:line="309" w:lineRule="exact"/>
        <w:ind w:left="0" w:leftChars="0" w:firstLine="0" w:firstLineChars="0"/>
        <w:textAlignment w:val="auto"/>
        <w:outlineLvl w:val="2"/>
        <w:rPr>
          <w:rStyle w:val="698"/>
          <w:rFonts w:hint="eastAsia" w:ascii="宋体" w:hAnsi="宋体" w:eastAsia="宋体" w:cs="宋体"/>
          <w:bCs/>
          <w:color w:val="auto"/>
          <w:highlight w:val="none"/>
          <w:lang w:val="en-US" w:eastAsia="zh-CN"/>
        </w:rPr>
      </w:pPr>
      <w:r>
        <w:rPr>
          <w:rStyle w:val="698"/>
          <w:rFonts w:hint="eastAsia" w:ascii="宋体" w:hAnsi="宋体" w:eastAsia="宋体" w:cs="宋体"/>
          <w:bCs/>
          <w:color w:val="auto"/>
          <w:highlight w:val="none"/>
          <w:lang w:val="en-US" w:eastAsia="zh-CN"/>
        </w:rPr>
        <w:t xml:space="preserve">  建筑综合节能率应按下式计算：</w:t>
      </w:r>
    </w:p>
    <w:p w14:paraId="4D4E14C5">
      <w:pPr>
        <w:keepNext w:val="0"/>
        <w:keepLines w:val="0"/>
        <w:pageBreakBefore w:val="0"/>
        <w:widowControl w:val="0"/>
        <w:kinsoku/>
        <w:wordWrap/>
        <w:overflowPunct w:val="0"/>
        <w:topLinePunct w:val="0"/>
        <w:autoSpaceDE/>
        <w:autoSpaceDN/>
        <w:bidi w:val="0"/>
        <w:adjustRightInd/>
        <w:snapToGrid w:val="0"/>
        <w:spacing w:line="360" w:lineRule="auto"/>
        <w:jc w:val="right"/>
        <w:textAlignment w:val="auto"/>
        <w:rPr>
          <w:rFonts w:ascii="Times New Roman" w:hAnsi="Times New Roman"/>
          <w:color w:val="auto"/>
          <w:szCs w:val="21"/>
          <w:highlight w:val="none"/>
        </w:rPr>
      </w:pPr>
      <w:r>
        <w:rPr>
          <w:rFonts w:hint="eastAsia" w:hAnsi="Cambria Math"/>
          <w:i w:val="0"/>
          <w:color w:val="auto"/>
          <w:szCs w:val="21"/>
          <w:highlight w:val="none"/>
          <w:lang w:val="en-US" w:eastAsia="zh-CN"/>
        </w:rPr>
        <w:t xml:space="preserve">  </w:t>
      </w:r>
      <m:oMath>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η</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p</m:t>
            </m:r>
            <m:ctrlPr>
              <w:rPr>
                <w:rFonts w:ascii="Cambria Math" w:hAnsi="Cambria Math"/>
                <w:i/>
                <w:color w:val="auto"/>
                <w:szCs w:val="21"/>
                <w:highlight w:val="none"/>
              </w:rPr>
            </m:ctrlPr>
          </m:sub>
        </m:sSub>
        <m:r>
          <m:rPr/>
          <w:rPr>
            <w:rFonts w:ascii="Cambria Math" w:hAnsi="Cambria Math"/>
            <w:color w:val="auto"/>
            <w:szCs w:val="21"/>
            <w:highlight w:val="none"/>
          </w:rPr>
          <m:t>=</m:t>
        </m:r>
        <m:f>
          <m:fPr>
            <m:ctrlPr>
              <w:rPr>
                <w:rFonts w:ascii="Cambria Math" w:hAnsi="Cambria Math"/>
                <w:i/>
                <w:color w:val="auto"/>
                <w:szCs w:val="21"/>
                <w:highlight w:val="none"/>
              </w:rPr>
            </m:ctrlPr>
          </m:fPr>
          <m:num>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D</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m:t>
                </m:r>
                <m:ctrlPr>
                  <w:rPr>
                    <w:rFonts w:ascii="Cambria Math" w:hAnsi="Cambria Math"/>
                    <w:i/>
                    <w:color w:val="auto"/>
                    <w:szCs w:val="21"/>
                    <w:highlight w:val="none"/>
                  </w:rPr>
                </m:ctrlPr>
              </m:sub>
            </m:sSub>
            <m:r>
              <m:rPr/>
              <w:rPr>
                <w:rFonts w:hint="default" w:ascii="Cambria Math" w:hAnsi="Cambria Math"/>
                <w:color w:val="auto"/>
                <w:szCs w:val="21"/>
                <w:highlight w:val="none"/>
                <w:lang w:val="en-US" w:eastAsia="zh-CN"/>
              </w:rPr>
              <m:t>|</m:t>
            </m:r>
            <m:ctrlPr>
              <w:rPr>
                <w:rFonts w:ascii="Cambria Math" w:hAnsi="Cambria Math"/>
                <w:i/>
                <w:color w:val="auto"/>
                <w:szCs w:val="21"/>
                <w:highlight w:val="none"/>
              </w:rPr>
            </m:ctrlPr>
          </m:num>
          <m:den>
            <m:sSub>
              <m:sSubPr>
                <m:ctrlPr>
                  <w:rPr>
                    <w:rFonts w:ascii="Cambria Math" w:hAnsi="Cambria Math"/>
                    <w:i/>
                    <w:color w:val="auto"/>
                    <w:szCs w:val="21"/>
                    <w:highlight w:val="none"/>
                  </w:rPr>
                </m:ctrlPr>
              </m:sSubPr>
              <m:e>
                <m:r>
                  <m:rPr/>
                  <w:rPr>
                    <w:rFonts w:hint="default" w:ascii="Cambria Math" w:hAnsi="Cambria Math"/>
                    <w:color w:val="auto"/>
                    <w:szCs w:val="21"/>
                    <w:highlight w:val="none"/>
                    <w:lang w:val="en-US" w:eastAsia="zh-CN"/>
                  </w:rPr>
                  <m:t>E</m:t>
                </m:r>
                <m:ctrlPr>
                  <w:rPr>
                    <w:rFonts w:ascii="Cambria Math" w:hAnsi="Cambria Math"/>
                    <w:i/>
                    <w:color w:val="auto"/>
                    <w:szCs w:val="21"/>
                    <w:highlight w:val="none"/>
                  </w:rPr>
                </m:ctrlPr>
              </m:e>
              <m:sub>
                <m:r>
                  <m:rPr/>
                  <w:rPr>
                    <w:rFonts w:hint="default" w:ascii="Cambria Math" w:hAnsi="Cambria Math"/>
                    <w:color w:val="auto"/>
                    <w:szCs w:val="21"/>
                    <w:highlight w:val="none"/>
                    <w:lang w:val="en-US" w:eastAsia="zh-CN"/>
                  </w:rPr>
                  <m:t>R</m:t>
                </m:r>
                <m:ctrlPr>
                  <w:rPr>
                    <w:rFonts w:ascii="Cambria Math" w:hAnsi="Cambria Math"/>
                    <w:i/>
                    <w:color w:val="auto"/>
                    <w:szCs w:val="21"/>
                    <w:highlight w:val="none"/>
                  </w:rPr>
                </m:ctrlPr>
              </m:sub>
            </m:sSub>
            <m:ctrlPr>
              <w:rPr>
                <w:rFonts w:ascii="Cambria Math" w:hAnsi="Cambria Math"/>
                <w:i/>
                <w:color w:val="auto"/>
                <w:szCs w:val="21"/>
                <w:highlight w:val="none"/>
              </w:rPr>
            </m:ctrlPr>
          </m:den>
        </m:f>
        <m:r>
          <m:rPr>
            <m:sty m:val="p"/>
          </m:rPr>
          <w:rPr>
            <w:rFonts w:hint="eastAsia" w:hAnsi="Cambria Math"/>
            <w:color w:val="auto"/>
            <w:szCs w:val="21"/>
            <w:highlight w:val="none"/>
            <w:lang w:val="en-US" w:eastAsia="zh-CN"/>
          </w:rPr>
          <m:t>×</m:t>
        </m:r>
        <m:r>
          <m:rPr>
            <m:sty m:val="p"/>
          </m:rPr>
          <w:rPr>
            <w:rFonts w:hint="default" w:ascii="Cambria Math" w:hAnsi="Cambria Math" w:cs="Times New Roman"/>
            <w:color w:val="auto"/>
            <w:szCs w:val="21"/>
            <w:highlight w:val="none"/>
            <w:lang w:val="en-US" w:eastAsia="zh-CN"/>
          </w:rPr>
          <m:t>100%</m:t>
        </m:r>
      </m:oMath>
      <w:r>
        <w:rPr>
          <w:rFonts w:hint="eastAsia" w:hAnsi="Cambria Math"/>
          <w:i w:val="0"/>
          <w:color w:val="auto"/>
          <w:szCs w:val="21"/>
          <w:highlight w:val="none"/>
          <w:lang w:val="en-US" w:eastAsia="zh-CN"/>
        </w:rPr>
        <w:t xml:space="preserve">  </w:t>
      </w:r>
      <w:r>
        <w:rPr>
          <w:rFonts w:hint="eastAsia"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rPr>
        <w:t>（</w:t>
      </w:r>
      <w:r>
        <w:rPr>
          <w:rFonts w:hint="default" w:ascii="Times New Roman" w:hAnsi="Times New Roman" w:cs="Times New Roman"/>
          <w:color w:val="auto"/>
          <w:szCs w:val="21"/>
          <w:highlight w:val="none"/>
        </w:rPr>
        <w:t>A.2.</w:t>
      </w:r>
      <w:r>
        <w:rPr>
          <w:rFonts w:hint="eastAsia" w:cs="Times New Roman"/>
          <w:color w:val="auto"/>
          <w:szCs w:val="21"/>
          <w:highlight w:val="none"/>
          <w:lang w:val="en-US" w:eastAsia="zh-CN"/>
        </w:rPr>
        <w:t>4</w:t>
      </w:r>
      <w:r>
        <w:rPr>
          <w:rFonts w:ascii="Times New Roman" w:hAnsi="Times New Roman"/>
          <w:color w:val="auto"/>
          <w:szCs w:val="21"/>
          <w:highlight w:val="none"/>
        </w:rPr>
        <w:t xml:space="preserve">） </w:t>
      </w:r>
    </w:p>
    <w:p w14:paraId="2D6C9E40">
      <w:pPr>
        <w:keepNext w:val="0"/>
        <w:keepLines w:val="0"/>
        <w:pageBreakBefore w:val="0"/>
        <w:widowControl w:val="0"/>
        <w:kinsoku/>
        <w:wordWrap/>
        <w:overflowPunct w:val="0"/>
        <w:topLinePunct w:val="0"/>
        <w:autoSpaceDE/>
        <w:autoSpaceDN/>
        <w:bidi w:val="0"/>
        <w:adjustRightInd/>
        <w:snapToGrid w:val="0"/>
        <w:spacing w:line="240" w:lineRule="auto"/>
        <w:jc w:val="both"/>
        <w:textAlignment w:val="auto"/>
        <w:rPr>
          <w:rFonts w:hint="eastAsia" w:hAnsi="Cambria Math"/>
          <w:i w:val="0"/>
          <w:color w:val="auto"/>
          <w:szCs w:val="21"/>
          <w:highlight w:val="none"/>
          <w:lang w:val="en-US" w:eastAsia="zh-CN"/>
        </w:rPr>
      </w:pPr>
      <w:r>
        <w:rPr>
          <w:rFonts w:hint="eastAsia" w:hAnsi="Cambria Math"/>
          <w:i w:val="0"/>
          <w:color w:val="auto"/>
          <w:szCs w:val="21"/>
          <w:highlight w:val="none"/>
          <w:lang w:val="en-US" w:eastAsia="zh-CN"/>
        </w:rPr>
        <w:t>式中：</w:t>
      </w:r>
      <m:oMath>
        <m:sSub>
          <m:sSubPr>
            <m:ctrlPr>
              <w:rPr>
                <w:rFonts w:ascii="Cambria Math" w:hAnsi="Cambria Math"/>
                <w:i/>
                <w:color w:val="auto"/>
                <w:szCs w:val="21"/>
                <w:highlight w:val="none"/>
                <w:lang w:val="en-US"/>
              </w:rPr>
            </m:ctrlPr>
          </m:sSubPr>
          <m:e>
            <m:r>
              <m:rPr/>
              <w:rPr>
                <w:rFonts w:hint="default" w:ascii="Cambria Math" w:hAnsi="Cambria Math"/>
                <w:color w:val="auto"/>
                <w:szCs w:val="21"/>
                <w:highlight w:val="none"/>
                <w:lang w:val="en-US" w:eastAsia="zh-CN"/>
              </w:rPr>
              <m:t>η</m:t>
            </m:r>
            <m:ctrlPr>
              <w:rPr>
                <w:rFonts w:ascii="Cambria Math" w:hAnsi="Cambria Math"/>
                <w:i/>
                <w:color w:val="auto"/>
                <w:szCs w:val="21"/>
                <w:highlight w:val="none"/>
                <w:lang w:val="en-US"/>
              </w:rPr>
            </m:ctrlPr>
          </m:e>
          <m:sub>
            <m:r>
              <m:rPr/>
              <w:rPr>
                <w:rFonts w:hint="default" w:ascii="Cambria Math" w:hAnsi="Cambria Math"/>
                <w:color w:val="auto"/>
                <w:szCs w:val="21"/>
                <w:highlight w:val="none"/>
                <w:lang w:val="en-US" w:eastAsia="zh-CN"/>
              </w:rPr>
              <m:t>p</m:t>
            </m:r>
            <m:ctrlPr>
              <w:rPr>
                <w:rFonts w:ascii="Cambria Math" w:hAnsi="Cambria Math"/>
                <w:i/>
                <w:color w:val="auto"/>
                <w:szCs w:val="21"/>
                <w:highlight w:val="none"/>
                <w:lang w:val="en-US"/>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建筑综合节能率，</w:t>
      </w:r>
      <w:r>
        <w:rPr>
          <w:rFonts w:hint="default" w:ascii="Times New Roman" w:hAnsi="Times New Roman" w:eastAsia="宋体"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w:t>
      </w:r>
      <w:r>
        <w:rPr>
          <w:rFonts w:hint="eastAsia" w:hAnsi="Cambria Math"/>
          <w:i w:val="0"/>
          <w:color w:val="auto"/>
          <w:szCs w:val="21"/>
          <w:highlight w:val="none"/>
          <w:lang w:val="en-US" w:eastAsia="zh-CN"/>
        </w:rPr>
        <w:t xml:space="preserve"> </w:t>
      </w:r>
    </w:p>
    <w:p w14:paraId="46524CFB">
      <w:pPr>
        <w:keepNext w:val="0"/>
        <w:keepLines w:val="0"/>
        <w:pageBreakBefore w:val="0"/>
        <w:widowControl w:val="0"/>
        <w:kinsoku/>
        <w:wordWrap/>
        <w:overflowPunct w:val="0"/>
        <w:topLinePunct w:val="0"/>
        <w:autoSpaceDE/>
        <w:autoSpaceDN/>
        <w:bidi w:val="0"/>
        <w:adjustRightInd/>
        <w:snapToGrid w:val="0"/>
        <w:spacing w:line="240" w:lineRule="auto"/>
        <w:ind w:firstLine="630" w:firstLineChars="300"/>
        <w:jc w:val="both"/>
        <w:textAlignment w:val="auto"/>
        <w:rPr>
          <w:rFonts w:hint="default" w:hAnsi="Cambria Math"/>
          <w:i w:val="0"/>
          <w:color w:val="auto"/>
          <w:szCs w:val="21"/>
          <w:highlight w:val="none"/>
          <w:lang w:val="en-US" w:eastAsia="zh-CN"/>
        </w:rPr>
      </w:pPr>
      <m:oMath>
        <m:sSub>
          <m:sSubPr>
            <m:ctrlPr>
              <w:rPr>
                <w:rFonts w:ascii="Cambria Math" w:hAnsi="Cambria Math" w:cs="宋体"/>
                <w:bCs/>
                <w:color w:val="auto"/>
                <w:szCs w:val="21"/>
                <w:highlight w:val="none"/>
              </w:rPr>
            </m:ctrlPr>
          </m:sSubPr>
          <m:e>
            <m:r>
              <m:rPr>
                <m:sty m:val="p"/>
              </m:rPr>
              <w:rPr>
                <w:rFonts w:hint="default" w:ascii="Cambria Math" w:hAnsi="Cambria Math" w:cs="宋体"/>
                <w:color w:val="auto"/>
                <w:szCs w:val="21"/>
                <w:highlight w:val="none"/>
                <w:lang w:val="en-US" w:eastAsia="zh-CN"/>
              </w:rPr>
              <m:t>E</m:t>
            </m:r>
            <m:ctrlPr>
              <w:rPr>
                <w:rFonts w:ascii="Cambria Math" w:hAnsi="Cambria Math" w:cs="宋体"/>
                <w:bCs/>
                <w:color w:val="auto"/>
                <w:szCs w:val="21"/>
                <w:highlight w:val="none"/>
              </w:rPr>
            </m:ctrlPr>
          </m:e>
          <m:sub>
            <m:r>
              <m:rPr>
                <m:sty m:val="p"/>
              </m:rPr>
              <w:rPr>
                <w:rFonts w:hint="default" w:ascii="Cambria Math" w:hAnsi="Cambria Math" w:cs="宋体"/>
                <w:color w:val="auto"/>
                <w:szCs w:val="21"/>
                <w:highlight w:val="none"/>
                <w:lang w:val="en-US" w:eastAsia="zh-CN"/>
              </w:rPr>
              <m:t>D</m:t>
            </m:r>
            <m:ctrlPr>
              <w:rPr>
                <w:rFonts w:ascii="Cambria Math" w:hAnsi="Cambria Math" w:cs="宋体"/>
                <w:bCs/>
                <w:color w:val="auto"/>
                <w:szCs w:val="21"/>
                <w:highlight w:val="none"/>
              </w:rPr>
            </m:ctrlPr>
          </m:sub>
        </m:sSub>
      </m:oMath>
      <w:r>
        <w:rPr>
          <w:rFonts w:hint="default" w:ascii="Times New Roman" w:hAnsi="Times New Roman" w:cs="Times New Roman"/>
          <w:i w:val="0"/>
          <w:color w:val="auto"/>
          <w:szCs w:val="21"/>
          <w:highlight w:val="none"/>
          <w:lang w:val="en-US" w:eastAsia="zh-CN"/>
        </w:rPr>
        <w:t>——</w:t>
      </w:r>
      <w:r>
        <w:rPr>
          <w:rFonts w:hint="eastAsia" w:ascii="宋体" w:hAnsi="宋体" w:eastAsia="宋体" w:cs="宋体"/>
          <w:i w:val="0"/>
          <w:color w:val="auto"/>
          <w:szCs w:val="21"/>
          <w:highlight w:val="none"/>
          <w:lang w:val="en-US" w:eastAsia="zh-CN"/>
        </w:rPr>
        <w:t>设计建筑的建筑能耗综合值，</w:t>
      </w:r>
      <w:r>
        <w:rPr>
          <w:rFonts w:hint="default" w:ascii="Times New Roman" w:hAnsi="Times New Roman" w:eastAsia="宋体" w:cs="Times New Roman"/>
          <w:i w:val="0"/>
          <w:color w:val="auto"/>
          <w:szCs w:val="21"/>
          <w:highlight w:val="none"/>
          <w:lang w:val="en-US" w:eastAsia="zh-CN"/>
        </w:rPr>
        <w:t>kWh/</w:t>
      </w:r>
      <w:r>
        <w:rPr>
          <w:rFonts w:hint="default" w:ascii="Times New Roman" w:hAnsi="Times New Roman" w:cs="Times New Roman"/>
          <w:bCs/>
          <w:color w:val="auto"/>
          <w:szCs w:val="21"/>
          <w:highlight w:val="none"/>
          <w:lang w:val="en-US" w:eastAsia="zh-CN"/>
        </w:rPr>
        <w:t>m</w:t>
      </w:r>
      <w:r>
        <w:rPr>
          <w:rFonts w:hint="default" w:ascii="Times New Roman" w:hAnsi="Times New Roman" w:cs="Times New Roman"/>
          <w:bCs/>
          <w:color w:val="auto"/>
          <w:szCs w:val="21"/>
          <w:highlight w:val="none"/>
          <w:vertAlign w:val="superscript"/>
          <w:lang w:val="en-US" w:eastAsia="zh-CN"/>
        </w:rPr>
        <w:t>2</w:t>
      </w:r>
      <w:r>
        <w:rPr>
          <w:rFonts w:hint="eastAsia" w:ascii="宋体" w:hAnsi="宋体" w:eastAsia="宋体" w:cs="宋体"/>
          <w:i w:val="0"/>
          <w:color w:val="auto"/>
          <w:szCs w:val="21"/>
          <w:highlight w:val="none"/>
          <w:lang w:val="en-US" w:eastAsia="zh-CN"/>
        </w:rPr>
        <w:t>。</w:t>
      </w:r>
    </w:p>
    <w:p w14:paraId="2DDF9144">
      <w:pPr>
        <w:pStyle w:val="258"/>
        <w:tabs>
          <w:tab w:val="center" w:pos="4201"/>
          <w:tab w:val="right" w:leader="dot" w:pos="9298"/>
        </w:tabs>
        <w:ind w:firstLine="420"/>
        <w:rPr>
          <w:b/>
          <w:sz w:val="24"/>
        </w:rPr>
      </w:pPr>
      <w:r>
        <w:rPr>
          <w:b/>
          <w:sz w:val="24"/>
        </w:rPr>
        <w:br w:type="page"/>
      </w:r>
    </w:p>
    <w:p w14:paraId="04A4C2C3">
      <w:pPr>
        <w:pStyle w:val="274"/>
        <w:numPr>
          <w:ilvl w:val="0"/>
          <w:numId w:val="49"/>
        </w:numPr>
        <w:spacing w:after="284"/>
      </w:pPr>
      <w:bookmarkStart w:id="56" w:name="_Toc19506"/>
      <w:bookmarkStart w:id="57" w:name="_Toc2950940"/>
      <w:r>
        <w:br w:type="textWrapping"/>
      </w:r>
      <w:r>
        <w:rPr>
          <w:rFonts w:hint="eastAsia"/>
        </w:rPr>
        <w:t>（规范性）</w:t>
      </w:r>
      <w:r>
        <w:br w:type="textWrapping"/>
      </w:r>
      <w:r>
        <w:rPr>
          <w:rFonts w:hint="eastAsia"/>
        </w:rPr>
        <w:t>建筑气密性测试方法</w:t>
      </w:r>
      <w:bookmarkEnd w:id="56"/>
      <w:bookmarkEnd w:id="57"/>
    </w:p>
    <w:p w14:paraId="1896B5D3">
      <w:pPr>
        <w:pStyle w:val="276"/>
        <w:numPr>
          <w:ilvl w:val="1"/>
          <w:numId w:val="49"/>
        </w:numPr>
        <w:tabs>
          <w:tab w:val="left" w:pos="360"/>
        </w:tabs>
        <w:spacing w:before="156" w:after="156"/>
      </w:pPr>
      <w:bookmarkStart w:id="58" w:name="_Toc21103"/>
      <w:r>
        <w:rPr>
          <w:rFonts w:hint="eastAsia"/>
        </w:rPr>
        <w:t>一般规定</w:t>
      </w:r>
      <w:bookmarkEnd w:id="58"/>
    </w:p>
    <w:p w14:paraId="5D963880">
      <w:pPr>
        <w:pStyle w:val="277"/>
        <w:numPr>
          <w:ilvl w:val="2"/>
          <w:numId w:val="56"/>
        </w:numPr>
        <w:spacing w:before="0" w:beforeLines="0" w:after="0" w:afterLines="0"/>
        <w:rPr>
          <w:rFonts w:hAnsi="黑体" w:eastAsia="宋体"/>
          <w:bCs/>
        </w:rPr>
      </w:pPr>
      <w:r>
        <w:rPr>
          <w:rFonts w:hAnsi="黑体" w:eastAsia="宋体"/>
          <w:bCs/>
        </w:rPr>
        <w:t>超低能耗建筑在验收前应进行气密性测试，气密性测试抽检样本</w:t>
      </w:r>
      <w:r>
        <w:rPr>
          <w:rFonts w:hint="eastAsia" w:hAnsi="黑体" w:eastAsia="宋体"/>
          <w:bCs/>
        </w:rPr>
        <w:t>应符合下列规定</w:t>
      </w:r>
      <w:r>
        <w:rPr>
          <w:rFonts w:hAnsi="黑体" w:eastAsia="宋体"/>
          <w:bCs/>
        </w:rPr>
        <w:t>：</w:t>
      </w:r>
    </w:p>
    <w:p w14:paraId="35D16AE2">
      <w:pPr>
        <w:pStyle w:val="258"/>
        <w:tabs>
          <w:tab w:val="center" w:pos="4201"/>
          <w:tab w:val="right" w:leader="dot" w:pos="9298"/>
        </w:tabs>
        <w:ind w:firstLine="420"/>
        <w:rPr>
          <w:rFonts w:ascii="Times New Roman"/>
          <w:bCs/>
          <w:szCs w:val="22"/>
        </w:rPr>
      </w:pPr>
      <w:r>
        <w:rPr>
          <w:rFonts w:ascii="Times New Roman"/>
          <w:bCs/>
          <w:szCs w:val="22"/>
        </w:rPr>
        <w:t>1.住宅建筑可以户或单元为对象进行气密性能检测，取测试结果的体积加权平均值作为整栋建筑的换气次数。当以户为对象进行气密性能检测时，测试户数不应少于整栋建筑户数的5%，且至少应包括顶层、中间层和底层的典型户型各1户；当以单元为对象进行气密性能检测时，测试单元不应少于整栋建筑单元数的10%，且不应少于1个单元；</w:t>
      </w:r>
    </w:p>
    <w:p w14:paraId="646C7C65">
      <w:pPr>
        <w:pStyle w:val="258"/>
        <w:tabs>
          <w:tab w:val="center" w:pos="4201"/>
          <w:tab w:val="right" w:leader="dot" w:pos="9298"/>
        </w:tabs>
        <w:ind w:firstLine="420"/>
        <w:rPr>
          <w:rFonts w:ascii="Times New Roman"/>
          <w:bCs/>
          <w:szCs w:val="22"/>
        </w:rPr>
      </w:pPr>
      <w:r>
        <w:rPr>
          <w:rFonts w:ascii="Times New Roman"/>
          <w:bCs/>
          <w:szCs w:val="22"/>
        </w:rPr>
        <w:t>2.公共建筑宜采用一次性对整栋建筑进行测试，并将测试结果作为整栋建筑的换气次数。</w:t>
      </w:r>
    </w:p>
    <w:p w14:paraId="1C88AB4D">
      <w:pPr>
        <w:pStyle w:val="277"/>
        <w:numPr>
          <w:ilvl w:val="2"/>
          <w:numId w:val="56"/>
        </w:numPr>
        <w:spacing w:before="0" w:beforeLines="0" w:after="0" w:afterLines="0"/>
        <w:rPr>
          <w:rFonts w:hAnsi="黑体" w:eastAsia="宋体"/>
          <w:bCs/>
        </w:rPr>
      </w:pPr>
      <w:r>
        <w:rPr>
          <w:rFonts w:hint="eastAsia" w:hAnsi="黑体" w:eastAsia="宋体"/>
          <w:bCs/>
        </w:rPr>
        <w:t>建筑气密性测试宜采用压差法或示踪气体法。</w:t>
      </w:r>
    </w:p>
    <w:p w14:paraId="5FC6B4F3">
      <w:pPr>
        <w:pStyle w:val="277"/>
        <w:numPr>
          <w:ilvl w:val="2"/>
          <w:numId w:val="56"/>
        </w:numPr>
        <w:spacing w:before="0" w:beforeLines="0" w:after="0" w:afterLines="0"/>
        <w:rPr>
          <w:rFonts w:asciiTheme="minorEastAsia" w:hAnsiTheme="minorEastAsia" w:eastAsiaTheme="minorEastAsia"/>
        </w:rPr>
      </w:pPr>
      <w:r>
        <w:rPr>
          <w:rFonts w:hint="eastAsia" w:asciiTheme="minorEastAsia" w:hAnsiTheme="minorEastAsia" w:eastAsiaTheme="minorEastAsia"/>
        </w:rPr>
        <w:t>建筑整体气密性测试方法可分为下列四种：</w:t>
      </w:r>
    </w:p>
    <w:p w14:paraId="0BBA412F">
      <w:pPr>
        <w:pStyle w:val="258"/>
        <w:ind w:firstLine="420"/>
      </w:pPr>
      <w:r>
        <w:rPr>
          <w:rFonts w:hint="eastAsia"/>
        </w:rPr>
        <w:t>1</w:t>
      </w:r>
      <w:r>
        <w:t>.</w:t>
      </w:r>
      <w:r>
        <w:rPr>
          <w:rFonts w:hint="eastAsia"/>
        </w:rPr>
        <w:t>方法I：采用压差法一次性对整栋建筑或建筑中最大的空间进行测试，将测试结果作为整栋建筑的换气次数。</w:t>
      </w:r>
    </w:p>
    <w:p w14:paraId="319BC2A4">
      <w:pPr>
        <w:pStyle w:val="258"/>
        <w:ind w:firstLine="420"/>
      </w:pPr>
      <w:r>
        <w:rPr>
          <w:rFonts w:hint="eastAsia"/>
        </w:rPr>
        <w:t>2.方法II：采用压差法从每5层建筑中选择1层进行测试，测试建筑面积不小于测试层面积1/8的小空间，其中建筑底层和顶层必须测试，测试结果按测试空间容积进行加权平均，取加权平均值作为整栋建筑的换气次数。</w:t>
      </w:r>
    </w:p>
    <w:p w14:paraId="7503F1A1">
      <w:pPr>
        <w:pStyle w:val="258"/>
        <w:ind w:firstLine="420"/>
      </w:pPr>
      <w:r>
        <w:rPr>
          <w:rFonts w:hint="eastAsia"/>
        </w:rPr>
        <w:t>3.方法III：采用示踪气体法对建筑中最大的空间进行测试，将测试结果作为整栋建筑的换气次数。</w:t>
      </w:r>
    </w:p>
    <w:p w14:paraId="3F2CCC5C">
      <w:pPr>
        <w:pStyle w:val="258"/>
        <w:ind w:firstLine="420"/>
      </w:pPr>
      <w:r>
        <w:rPr>
          <w:rFonts w:hint="eastAsia"/>
        </w:rPr>
        <w:t>4.方法IV：将建筑空间分割为若干个体积小于60000m</w:t>
      </w:r>
      <w:r>
        <w:rPr>
          <w:rFonts w:hint="eastAsia"/>
          <w:vertAlign w:val="superscript"/>
        </w:rPr>
        <w:t>3</w:t>
      </w:r>
      <w:r>
        <w:rPr>
          <w:rFonts w:hint="eastAsia"/>
        </w:rPr>
        <w:t>的空间进行测试，测试结果按测试空间容积进行加权平均，取加权平均值作为整栋建筑的换气次数。</w:t>
      </w:r>
    </w:p>
    <w:p w14:paraId="6896F7BF">
      <w:pPr>
        <w:pStyle w:val="277"/>
        <w:numPr>
          <w:ilvl w:val="2"/>
          <w:numId w:val="56"/>
        </w:numPr>
        <w:spacing w:before="0" w:beforeLines="0" w:after="0" w:afterLines="0"/>
        <w:rPr>
          <w:rFonts w:ascii="宋体" w:hAnsi="宋体" w:eastAsia="宋体"/>
        </w:rPr>
      </w:pPr>
      <w:r>
        <w:rPr>
          <w:rFonts w:hint="eastAsia" w:ascii="宋体" w:hAnsi="宋体" w:eastAsia="宋体"/>
        </w:rPr>
        <w:t>不同类型建筑整体气密性测试方法宜符合表B.1的规定。</w:t>
      </w:r>
    </w:p>
    <w:p w14:paraId="482FF3C3">
      <w:pPr>
        <w:pStyle w:val="258"/>
        <w:widowControl w:val="0"/>
        <w:overflowPunct w:val="0"/>
        <w:spacing w:before="62" w:beforeLines="20" w:after="78" w:afterLines="25" w:line="309" w:lineRule="exact"/>
        <w:ind w:firstLine="0" w:firstLineChars="0"/>
        <w:jc w:val="center"/>
        <w:rPr>
          <w:rFonts w:ascii="黑体" w:hAnsi="黑体" w:eastAsia="黑体" w:cs="黑体"/>
          <w:color w:val="000000"/>
          <w:sz w:val="18"/>
          <w:szCs w:val="18"/>
        </w:rPr>
      </w:pPr>
      <w:r>
        <w:rPr>
          <w:rFonts w:hint="eastAsia" w:ascii="黑体" w:hAnsi="黑体" w:eastAsia="黑体" w:cs="黑体"/>
          <w:color w:val="000000"/>
          <w:sz w:val="18"/>
          <w:szCs w:val="18"/>
        </w:rPr>
        <w:t>表B</w:t>
      </w:r>
      <w:r>
        <w:rPr>
          <w:rFonts w:ascii="黑体" w:hAnsi="黑体" w:eastAsia="黑体" w:cs="黑体"/>
          <w:color w:val="000000"/>
          <w:sz w:val="18"/>
          <w:szCs w:val="18"/>
        </w:rPr>
        <w:t>.</w:t>
      </w:r>
      <w:r>
        <w:rPr>
          <w:rFonts w:hint="eastAsia" w:ascii="黑体" w:hAnsi="黑体" w:eastAsia="黑体" w:cs="黑体"/>
          <w:color w:val="000000"/>
          <w:sz w:val="18"/>
          <w:szCs w:val="18"/>
        </w:rPr>
        <w:t>1</w:t>
      </w:r>
      <w:r>
        <w:rPr>
          <w:rFonts w:ascii="黑体" w:hAnsi="黑体" w:eastAsia="黑体" w:cs="黑体"/>
          <w:color w:val="000000"/>
          <w:sz w:val="18"/>
          <w:szCs w:val="18"/>
        </w:rPr>
        <w:t xml:space="preserve">  </w:t>
      </w:r>
      <w:r>
        <w:rPr>
          <w:rFonts w:hint="eastAsia" w:ascii="黑体" w:hAnsi="黑体" w:eastAsia="黑体" w:cs="黑体"/>
          <w:color w:val="000000"/>
          <w:sz w:val="18"/>
          <w:szCs w:val="18"/>
        </w:rPr>
        <w:t>整体气密性测试方法</w:t>
      </w:r>
    </w:p>
    <w:tbl>
      <w:tblPr>
        <w:tblStyle w:val="89"/>
        <w:tblW w:w="9358" w:type="dxa"/>
        <w:tblInd w:w="-24"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4210"/>
        <w:gridCol w:w="2319"/>
      </w:tblGrid>
      <w:tr w14:paraId="343A0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tcBorders>
              <w:top w:val="single" w:color="auto" w:sz="8" w:space="0"/>
              <w:bottom w:val="single" w:color="auto" w:sz="8" w:space="0"/>
            </w:tcBorders>
            <w:vAlign w:val="center"/>
          </w:tcPr>
          <w:p w14:paraId="3F900993">
            <w:pPr>
              <w:spacing w:before="78" w:after="78"/>
              <w:jc w:val="center"/>
              <w:rPr>
                <w:sz w:val="18"/>
                <w:szCs w:val="18"/>
              </w:rPr>
            </w:pPr>
            <w:r>
              <w:rPr>
                <w:rFonts w:hint="eastAsia"/>
                <w:sz w:val="18"/>
                <w:szCs w:val="18"/>
              </w:rPr>
              <w:t>建筑类型</w:t>
            </w:r>
          </w:p>
        </w:tc>
        <w:tc>
          <w:tcPr>
            <w:tcW w:w="4210" w:type="dxa"/>
            <w:tcBorders>
              <w:top w:val="single" w:color="auto" w:sz="8" w:space="0"/>
              <w:bottom w:val="single" w:color="auto" w:sz="8" w:space="0"/>
            </w:tcBorders>
            <w:vAlign w:val="center"/>
          </w:tcPr>
          <w:p w14:paraId="5FF3F569">
            <w:pPr>
              <w:spacing w:before="78" w:after="78"/>
              <w:jc w:val="center"/>
              <w:rPr>
                <w:sz w:val="18"/>
                <w:szCs w:val="18"/>
              </w:rPr>
            </w:pPr>
            <w:r>
              <w:rPr>
                <w:rFonts w:hint="eastAsia"/>
                <w:sz w:val="18"/>
                <w:szCs w:val="18"/>
              </w:rPr>
              <w:t>适用范围</w:t>
            </w:r>
          </w:p>
        </w:tc>
        <w:tc>
          <w:tcPr>
            <w:tcW w:w="2319" w:type="dxa"/>
            <w:tcBorders>
              <w:top w:val="single" w:color="auto" w:sz="8" w:space="0"/>
              <w:bottom w:val="single" w:color="auto" w:sz="8" w:space="0"/>
            </w:tcBorders>
            <w:vAlign w:val="center"/>
          </w:tcPr>
          <w:p w14:paraId="788D5DE7">
            <w:pPr>
              <w:spacing w:before="78" w:after="78"/>
              <w:jc w:val="center"/>
              <w:rPr>
                <w:sz w:val="18"/>
                <w:szCs w:val="18"/>
              </w:rPr>
            </w:pPr>
            <w:r>
              <w:rPr>
                <w:rFonts w:hint="eastAsia"/>
                <w:sz w:val="18"/>
                <w:szCs w:val="18"/>
              </w:rPr>
              <w:t>测试方法</w:t>
            </w:r>
          </w:p>
        </w:tc>
      </w:tr>
      <w:tr w14:paraId="6843F7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restart"/>
            <w:tcBorders>
              <w:top w:val="single" w:color="auto" w:sz="8" w:space="0"/>
            </w:tcBorders>
            <w:vAlign w:val="center"/>
          </w:tcPr>
          <w:p w14:paraId="6A056DCB">
            <w:pPr>
              <w:spacing w:before="78" w:after="78"/>
              <w:jc w:val="center"/>
              <w:rPr>
                <w:sz w:val="18"/>
                <w:szCs w:val="18"/>
              </w:rPr>
            </w:pPr>
            <w:r>
              <w:rPr>
                <w:rFonts w:hint="eastAsia"/>
                <w:sz w:val="18"/>
                <w:szCs w:val="18"/>
              </w:rPr>
              <w:t>A：建筑由一个或多个容积小于2500m</w:t>
            </w:r>
            <w:r>
              <w:rPr>
                <w:rFonts w:hint="eastAsia"/>
                <w:sz w:val="18"/>
                <w:szCs w:val="18"/>
                <w:vertAlign w:val="superscript"/>
              </w:rPr>
              <w:t>3</w:t>
            </w:r>
            <w:r>
              <w:rPr>
                <w:rFonts w:hint="eastAsia"/>
                <w:sz w:val="18"/>
                <w:szCs w:val="18"/>
              </w:rPr>
              <w:t>的小空间组成，且所有小空间的容积之和超过建筑总容积的80%</w:t>
            </w:r>
          </w:p>
        </w:tc>
        <w:tc>
          <w:tcPr>
            <w:tcW w:w="4210" w:type="dxa"/>
            <w:tcBorders>
              <w:top w:val="single" w:color="auto" w:sz="8" w:space="0"/>
            </w:tcBorders>
            <w:vAlign w:val="center"/>
          </w:tcPr>
          <w:p w14:paraId="52B4173D">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p>
        </w:tc>
        <w:tc>
          <w:tcPr>
            <w:tcW w:w="2319" w:type="dxa"/>
            <w:tcBorders>
              <w:top w:val="single" w:color="auto" w:sz="8" w:space="0"/>
            </w:tcBorders>
            <w:vAlign w:val="center"/>
          </w:tcPr>
          <w:p w14:paraId="3F96C369">
            <w:pPr>
              <w:spacing w:before="78" w:after="78"/>
              <w:jc w:val="center"/>
              <w:rPr>
                <w:sz w:val="18"/>
                <w:szCs w:val="18"/>
              </w:rPr>
            </w:pPr>
            <w:r>
              <w:rPr>
                <w:rFonts w:hint="eastAsia"/>
                <w:sz w:val="18"/>
                <w:szCs w:val="18"/>
              </w:rPr>
              <w:t>I</w:t>
            </w:r>
          </w:p>
        </w:tc>
      </w:tr>
      <w:tr w14:paraId="0593ED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continue"/>
            <w:vAlign w:val="center"/>
          </w:tcPr>
          <w:p w14:paraId="636501DD">
            <w:pPr>
              <w:spacing w:before="78" w:after="78"/>
              <w:jc w:val="center"/>
              <w:rPr>
                <w:sz w:val="18"/>
                <w:szCs w:val="18"/>
              </w:rPr>
            </w:pPr>
          </w:p>
        </w:tc>
        <w:tc>
          <w:tcPr>
            <w:tcW w:w="4210" w:type="dxa"/>
            <w:vAlign w:val="center"/>
          </w:tcPr>
          <w:p w14:paraId="27F0E4DC">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r>
              <w:rPr>
                <w:rFonts w:hint="eastAsia"/>
                <w:sz w:val="18"/>
                <w:szCs w:val="18"/>
              </w:rPr>
              <w:t>，或方法I无法测量时。</w:t>
            </w:r>
          </w:p>
        </w:tc>
        <w:tc>
          <w:tcPr>
            <w:tcW w:w="2319" w:type="dxa"/>
            <w:vAlign w:val="center"/>
          </w:tcPr>
          <w:p w14:paraId="3310B4E1">
            <w:pPr>
              <w:spacing w:before="78" w:after="78"/>
              <w:jc w:val="center"/>
              <w:rPr>
                <w:sz w:val="18"/>
                <w:szCs w:val="18"/>
              </w:rPr>
            </w:pPr>
            <w:r>
              <w:rPr>
                <w:rFonts w:hint="eastAsia"/>
                <w:sz w:val="18"/>
                <w:szCs w:val="18"/>
              </w:rPr>
              <w:t>II</w:t>
            </w:r>
          </w:p>
        </w:tc>
      </w:tr>
      <w:tr w14:paraId="2716D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restart"/>
            <w:vAlign w:val="center"/>
          </w:tcPr>
          <w:p w14:paraId="6B768190">
            <w:pPr>
              <w:spacing w:before="78" w:after="78"/>
              <w:jc w:val="center"/>
              <w:rPr>
                <w:sz w:val="18"/>
                <w:szCs w:val="18"/>
              </w:rPr>
            </w:pPr>
            <w:r>
              <w:rPr>
                <w:rFonts w:hint="eastAsia"/>
                <w:sz w:val="18"/>
                <w:szCs w:val="18"/>
              </w:rPr>
              <w:t>B：建筑中某个空间的容积超过建筑容积的80%</w:t>
            </w:r>
          </w:p>
        </w:tc>
        <w:tc>
          <w:tcPr>
            <w:tcW w:w="4210" w:type="dxa"/>
            <w:vAlign w:val="center"/>
          </w:tcPr>
          <w:p w14:paraId="6CB8C5F3">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p>
        </w:tc>
        <w:tc>
          <w:tcPr>
            <w:tcW w:w="2319" w:type="dxa"/>
            <w:vAlign w:val="center"/>
          </w:tcPr>
          <w:p w14:paraId="0918392C">
            <w:pPr>
              <w:spacing w:before="78" w:after="78"/>
              <w:jc w:val="center"/>
              <w:rPr>
                <w:sz w:val="18"/>
                <w:szCs w:val="18"/>
              </w:rPr>
            </w:pPr>
            <w:r>
              <w:rPr>
                <w:rFonts w:hint="eastAsia"/>
                <w:sz w:val="18"/>
                <w:szCs w:val="18"/>
              </w:rPr>
              <w:t>I</w:t>
            </w:r>
          </w:p>
        </w:tc>
      </w:tr>
      <w:tr w14:paraId="70DD9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continue"/>
            <w:vAlign w:val="center"/>
          </w:tcPr>
          <w:p w14:paraId="12E44E74">
            <w:pPr>
              <w:spacing w:before="78" w:after="78"/>
              <w:jc w:val="center"/>
              <w:rPr>
                <w:sz w:val="18"/>
                <w:szCs w:val="18"/>
              </w:rPr>
            </w:pPr>
          </w:p>
        </w:tc>
        <w:tc>
          <w:tcPr>
            <w:tcW w:w="4210" w:type="dxa"/>
            <w:vAlign w:val="center"/>
          </w:tcPr>
          <w:p w14:paraId="0EFFAF6B">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r>
              <w:rPr>
                <w:rFonts w:hint="eastAsia"/>
                <w:sz w:val="18"/>
                <w:szCs w:val="18"/>
              </w:rPr>
              <w:t>，或方法I无法测量时。</w:t>
            </w:r>
          </w:p>
        </w:tc>
        <w:tc>
          <w:tcPr>
            <w:tcW w:w="2319" w:type="dxa"/>
            <w:vAlign w:val="center"/>
          </w:tcPr>
          <w:p w14:paraId="76F977F6">
            <w:pPr>
              <w:spacing w:before="78" w:after="78"/>
              <w:jc w:val="center"/>
              <w:rPr>
                <w:sz w:val="18"/>
                <w:szCs w:val="18"/>
              </w:rPr>
            </w:pPr>
            <w:r>
              <w:rPr>
                <w:rFonts w:hint="eastAsia"/>
                <w:sz w:val="18"/>
                <w:szCs w:val="18"/>
              </w:rPr>
              <w:t>III</w:t>
            </w:r>
          </w:p>
        </w:tc>
      </w:tr>
      <w:tr w14:paraId="69A91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restart"/>
            <w:vAlign w:val="center"/>
          </w:tcPr>
          <w:p w14:paraId="352EC8C4">
            <w:pPr>
              <w:spacing w:before="78" w:after="78"/>
              <w:jc w:val="center"/>
              <w:rPr>
                <w:sz w:val="18"/>
                <w:szCs w:val="18"/>
              </w:rPr>
            </w:pPr>
            <w:r>
              <w:rPr>
                <w:rFonts w:hint="eastAsia"/>
                <w:sz w:val="18"/>
                <w:szCs w:val="18"/>
              </w:rPr>
              <w:t>C：除A和B以外的其他建筑</w:t>
            </w:r>
          </w:p>
        </w:tc>
        <w:tc>
          <w:tcPr>
            <w:tcW w:w="4210" w:type="dxa"/>
            <w:vAlign w:val="center"/>
          </w:tcPr>
          <w:p w14:paraId="4438682B">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p>
        </w:tc>
        <w:tc>
          <w:tcPr>
            <w:tcW w:w="2319" w:type="dxa"/>
            <w:vAlign w:val="center"/>
          </w:tcPr>
          <w:p w14:paraId="0B4E5C9C">
            <w:pPr>
              <w:spacing w:before="78" w:after="78"/>
              <w:jc w:val="center"/>
              <w:rPr>
                <w:sz w:val="18"/>
                <w:szCs w:val="18"/>
              </w:rPr>
            </w:pPr>
            <w:r>
              <w:rPr>
                <w:rFonts w:hint="eastAsia"/>
                <w:sz w:val="18"/>
                <w:szCs w:val="18"/>
              </w:rPr>
              <w:t>I</w:t>
            </w:r>
          </w:p>
        </w:tc>
      </w:tr>
      <w:tr w14:paraId="7CBF2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829" w:type="dxa"/>
            <w:vMerge w:val="continue"/>
            <w:vAlign w:val="center"/>
          </w:tcPr>
          <w:p w14:paraId="305F2675">
            <w:pPr>
              <w:spacing w:before="78" w:after="78"/>
              <w:jc w:val="center"/>
              <w:rPr>
                <w:sz w:val="18"/>
                <w:szCs w:val="18"/>
              </w:rPr>
            </w:pPr>
          </w:p>
        </w:tc>
        <w:tc>
          <w:tcPr>
            <w:tcW w:w="4210" w:type="dxa"/>
            <w:vAlign w:val="center"/>
          </w:tcPr>
          <w:p w14:paraId="44A06BFA">
            <w:pPr>
              <w:spacing w:before="78" w:after="78"/>
              <w:jc w:val="center"/>
              <w:rPr>
                <w:sz w:val="18"/>
                <w:szCs w:val="18"/>
              </w:rPr>
            </w:pPr>
            <w:r>
              <w:rPr>
                <w:rFonts w:hint="eastAsia"/>
                <w:sz w:val="18"/>
                <w:szCs w:val="18"/>
              </w:rPr>
              <w:t>测试空间容积V</w:t>
            </w:r>
            <w:r>
              <w:rPr>
                <w:rFonts w:hint="eastAsia"/>
                <w:sz w:val="18"/>
                <w:szCs w:val="18"/>
                <w:vertAlign w:val="subscript"/>
              </w:rPr>
              <w:t>t</w:t>
            </w:r>
            <w:r>
              <w:rPr>
                <w:rFonts w:hint="eastAsia"/>
                <w:sz w:val="18"/>
                <w:szCs w:val="18"/>
              </w:rPr>
              <w:t>＞60000m</w:t>
            </w:r>
            <w:r>
              <w:rPr>
                <w:rFonts w:hint="eastAsia"/>
                <w:sz w:val="18"/>
                <w:szCs w:val="18"/>
                <w:vertAlign w:val="superscript"/>
              </w:rPr>
              <w:t>3</w:t>
            </w:r>
            <w:r>
              <w:rPr>
                <w:rFonts w:hint="eastAsia"/>
                <w:sz w:val="18"/>
                <w:szCs w:val="18"/>
              </w:rPr>
              <w:t>，或方法I无法测量时。</w:t>
            </w:r>
          </w:p>
        </w:tc>
        <w:tc>
          <w:tcPr>
            <w:tcW w:w="2319" w:type="dxa"/>
            <w:vAlign w:val="center"/>
          </w:tcPr>
          <w:p w14:paraId="05B94AF8">
            <w:pPr>
              <w:spacing w:before="78" w:after="78"/>
              <w:jc w:val="center"/>
              <w:rPr>
                <w:sz w:val="18"/>
                <w:szCs w:val="18"/>
              </w:rPr>
            </w:pPr>
            <w:r>
              <w:rPr>
                <w:rFonts w:hint="eastAsia"/>
                <w:sz w:val="18"/>
                <w:szCs w:val="18"/>
              </w:rPr>
              <w:t>IV</w:t>
            </w:r>
          </w:p>
        </w:tc>
      </w:tr>
    </w:tbl>
    <w:p w14:paraId="5A3BE4A8">
      <w:pPr>
        <w:overflowPunct w:val="0"/>
        <w:snapToGrid w:val="0"/>
        <w:spacing w:line="309" w:lineRule="exact"/>
        <w:rPr>
          <w:rStyle w:val="698"/>
        </w:rPr>
      </w:pPr>
    </w:p>
    <w:p w14:paraId="1506298A">
      <w:pPr>
        <w:pStyle w:val="277"/>
        <w:numPr>
          <w:ilvl w:val="2"/>
          <w:numId w:val="56"/>
        </w:numPr>
        <w:spacing w:before="0" w:beforeLines="0" w:after="0" w:afterLines="0"/>
        <w:rPr>
          <w:rFonts w:ascii="宋体" w:hAnsi="宋体" w:eastAsia="宋体"/>
        </w:rPr>
      </w:pPr>
      <w:r>
        <w:rPr>
          <w:rFonts w:hint="eastAsia" w:ascii="宋体" w:hAnsi="宋体" w:eastAsia="宋体"/>
        </w:rPr>
        <w:t>建筑构件的启闭状态应按下表的要求进行调整：</w:t>
      </w:r>
    </w:p>
    <w:p w14:paraId="1B865170">
      <w:pPr>
        <w:pStyle w:val="258"/>
        <w:widowControl w:val="0"/>
        <w:overflowPunct w:val="0"/>
        <w:spacing w:before="62" w:beforeLines="20" w:after="78" w:afterLines="25" w:line="309" w:lineRule="exact"/>
        <w:ind w:firstLine="0" w:firstLineChars="0"/>
        <w:jc w:val="center"/>
        <w:rPr>
          <w:rFonts w:ascii="黑体" w:hAnsi="黑体" w:eastAsia="黑体" w:cs="黑体"/>
          <w:color w:val="000000"/>
          <w:sz w:val="18"/>
          <w:szCs w:val="18"/>
        </w:rPr>
      </w:pPr>
      <w:r>
        <w:rPr>
          <w:rFonts w:hint="eastAsia" w:ascii="黑体" w:hAnsi="黑体" w:eastAsia="黑体" w:cs="黑体"/>
          <w:color w:val="000000"/>
          <w:sz w:val="18"/>
          <w:szCs w:val="18"/>
        </w:rPr>
        <w:t>表B</w:t>
      </w:r>
      <w:r>
        <w:rPr>
          <w:rFonts w:ascii="黑体" w:hAnsi="黑体" w:eastAsia="黑体" w:cs="黑体"/>
          <w:color w:val="000000"/>
          <w:sz w:val="18"/>
          <w:szCs w:val="18"/>
        </w:rPr>
        <w:t>.</w:t>
      </w:r>
      <w:r>
        <w:rPr>
          <w:rFonts w:hint="eastAsia" w:ascii="黑体" w:hAnsi="黑体" w:eastAsia="黑体" w:cs="黑体"/>
          <w:color w:val="000000"/>
          <w:sz w:val="18"/>
          <w:szCs w:val="18"/>
        </w:rPr>
        <w:t>2</w:t>
      </w:r>
      <w:r>
        <w:rPr>
          <w:rFonts w:ascii="黑体" w:hAnsi="黑体" w:eastAsia="黑体" w:cs="黑体"/>
          <w:color w:val="000000"/>
          <w:sz w:val="18"/>
          <w:szCs w:val="18"/>
        </w:rPr>
        <w:t xml:space="preserve">  </w:t>
      </w:r>
      <w:r>
        <w:rPr>
          <w:rFonts w:hint="eastAsia" w:ascii="黑体" w:hAnsi="黑体" w:eastAsia="黑体" w:cs="黑体"/>
          <w:color w:val="000000"/>
          <w:sz w:val="18"/>
          <w:szCs w:val="18"/>
        </w:rPr>
        <w:t>建筑构件的启闭状态</w:t>
      </w:r>
    </w:p>
    <w:tbl>
      <w:tblPr>
        <w:tblStyle w:val="89"/>
        <w:tblW w:w="9344" w:type="dxa"/>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34"/>
        <w:gridCol w:w="2810"/>
      </w:tblGrid>
      <w:tr w14:paraId="41CE0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534" w:type="dxa"/>
            <w:tcBorders>
              <w:top w:val="single" w:color="auto" w:sz="8" w:space="0"/>
              <w:bottom w:val="single" w:color="auto" w:sz="8" w:space="0"/>
            </w:tcBorders>
          </w:tcPr>
          <w:p w14:paraId="620B2F9E">
            <w:pPr>
              <w:spacing w:before="78" w:after="78"/>
              <w:rPr>
                <w:sz w:val="18"/>
                <w:szCs w:val="18"/>
              </w:rPr>
            </w:pPr>
            <w:r>
              <w:rPr>
                <w:rFonts w:hint="eastAsia"/>
                <w:sz w:val="18"/>
                <w:szCs w:val="18"/>
              </w:rPr>
              <w:t>构件部位</w:t>
            </w:r>
          </w:p>
        </w:tc>
        <w:tc>
          <w:tcPr>
            <w:tcW w:w="2810" w:type="dxa"/>
            <w:tcBorders>
              <w:top w:val="single" w:color="auto" w:sz="8" w:space="0"/>
              <w:bottom w:val="single" w:color="auto" w:sz="8" w:space="0"/>
            </w:tcBorders>
          </w:tcPr>
          <w:p w14:paraId="05F2CDBA">
            <w:pPr>
              <w:spacing w:before="78" w:after="78"/>
              <w:jc w:val="center"/>
              <w:rPr>
                <w:sz w:val="18"/>
                <w:szCs w:val="18"/>
              </w:rPr>
            </w:pPr>
            <w:r>
              <w:rPr>
                <w:rFonts w:hint="eastAsia"/>
                <w:sz w:val="18"/>
                <w:szCs w:val="18"/>
              </w:rPr>
              <w:t>方法</w:t>
            </w:r>
          </w:p>
        </w:tc>
      </w:tr>
      <w:tr w14:paraId="26B9C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534" w:type="dxa"/>
            <w:tcBorders>
              <w:top w:val="single" w:color="auto" w:sz="8" w:space="0"/>
            </w:tcBorders>
          </w:tcPr>
          <w:p w14:paraId="0C5889AC">
            <w:pPr>
              <w:spacing w:before="78" w:after="78"/>
              <w:rPr>
                <w:sz w:val="18"/>
                <w:szCs w:val="18"/>
              </w:rPr>
            </w:pPr>
            <w:r>
              <w:rPr>
                <w:rFonts w:hint="eastAsia"/>
                <w:sz w:val="18"/>
                <w:szCs w:val="18"/>
              </w:rPr>
              <w:t>外门、窗、天窗</w:t>
            </w:r>
          </w:p>
        </w:tc>
        <w:tc>
          <w:tcPr>
            <w:tcW w:w="2810" w:type="dxa"/>
            <w:tcBorders>
              <w:top w:val="single" w:color="auto" w:sz="8" w:space="0"/>
            </w:tcBorders>
          </w:tcPr>
          <w:p w14:paraId="43AF0876">
            <w:pPr>
              <w:spacing w:before="78" w:after="78"/>
              <w:jc w:val="center"/>
              <w:rPr>
                <w:sz w:val="18"/>
                <w:szCs w:val="18"/>
              </w:rPr>
            </w:pPr>
            <w:r>
              <w:rPr>
                <w:rFonts w:hint="eastAsia"/>
                <w:sz w:val="18"/>
                <w:szCs w:val="18"/>
              </w:rPr>
              <w:t>关闭</w:t>
            </w:r>
          </w:p>
        </w:tc>
      </w:tr>
      <w:tr w14:paraId="1C1FE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534" w:type="dxa"/>
          </w:tcPr>
          <w:p w14:paraId="35155504">
            <w:pPr>
              <w:spacing w:before="78" w:after="78"/>
              <w:rPr>
                <w:sz w:val="18"/>
                <w:szCs w:val="18"/>
              </w:rPr>
            </w:pPr>
            <w:r>
              <w:rPr>
                <w:rFonts w:hint="eastAsia"/>
                <w:sz w:val="18"/>
                <w:szCs w:val="18"/>
              </w:rPr>
              <w:t>测试空间内部的门、窗</w:t>
            </w:r>
          </w:p>
        </w:tc>
        <w:tc>
          <w:tcPr>
            <w:tcW w:w="2810" w:type="dxa"/>
          </w:tcPr>
          <w:p w14:paraId="419F6B5F">
            <w:pPr>
              <w:spacing w:before="78" w:after="78"/>
              <w:jc w:val="center"/>
              <w:rPr>
                <w:sz w:val="18"/>
                <w:szCs w:val="18"/>
              </w:rPr>
            </w:pPr>
            <w:r>
              <w:rPr>
                <w:rFonts w:hint="eastAsia"/>
                <w:sz w:val="18"/>
                <w:szCs w:val="18"/>
              </w:rPr>
              <w:t>打开</w:t>
            </w:r>
          </w:p>
        </w:tc>
      </w:tr>
      <w:tr w14:paraId="40316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534" w:type="dxa"/>
          </w:tcPr>
          <w:p w14:paraId="3F067428">
            <w:pPr>
              <w:spacing w:before="78" w:after="78"/>
              <w:rPr>
                <w:sz w:val="18"/>
                <w:szCs w:val="18"/>
              </w:rPr>
            </w:pPr>
            <w:r>
              <w:rPr>
                <w:rFonts w:hint="eastAsia"/>
                <w:sz w:val="18"/>
                <w:szCs w:val="18"/>
              </w:rPr>
              <w:t>测试空间与非测试空间连通的门、窗、孔洞</w:t>
            </w:r>
          </w:p>
        </w:tc>
        <w:tc>
          <w:tcPr>
            <w:tcW w:w="2810" w:type="dxa"/>
          </w:tcPr>
          <w:p w14:paraId="50E60274">
            <w:pPr>
              <w:spacing w:before="78" w:after="78"/>
              <w:jc w:val="center"/>
              <w:rPr>
                <w:sz w:val="18"/>
                <w:szCs w:val="18"/>
              </w:rPr>
            </w:pPr>
            <w:r>
              <w:rPr>
                <w:rFonts w:hint="eastAsia"/>
                <w:sz w:val="18"/>
                <w:szCs w:val="18"/>
              </w:rPr>
              <w:t>封闭</w:t>
            </w:r>
          </w:p>
        </w:tc>
      </w:tr>
      <w:tr w14:paraId="45302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534" w:type="dxa"/>
          </w:tcPr>
          <w:p w14:paraId="656C5EAF">
            <w:pPr>
              <w:spacing w:before="78" w:after="78"/>
              <w:rPr>
                <w:sz w:val="18"/>
                <w:szCs w:val="18"/>
              </w:rPr>
            </w:pPr>
            <w:r>
              <w:rPr>
                <w:rFonts w:hint="eastAsia"/>
                <w:sz w:val="18"/>
                <w:szCs w:val="18"/>
              </w:rPr>
              <w:t>与测试空间相邻的非测试空间的门、窗</w:t>
            </w:r>
          </w:p>
        </w:tc>
        <w:tc>
          <w:tcPr>
            <w:tcW w:w="2810" w:type="dxa"/>
          </w:tcPr>
          <w:p w14:paraId="14048B8C">
            <w:pPr>
              <w:spacing w:before="78" w:after="78"/>
              <w:jc w:val="center"/>
              <w:rPr>
                <w:sz w:val="18"/>
                <w:szCs w:val="18"/>
              </w:rPr>
            </w:pPr>
            <w:r>
              <w:rPr>
                <w:rFonts w:hint="eastAsia"/>
                <w:sz w:val="18"/>
                <w:szCs w:val="18"/>
              </w:rPr>
              <w:t>关闭</w:t>
            </w:r>
          </w:p>
        </w:tc>
      </w:tr>
      <w:tr w14:paraId="6FBD3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6534" w:type="dxa"/>
          </w:tcPr>
          <w:p w14:paraId="38D516E4">
            <w:pPr>
              <w:spacing w:before="78" w:after="78"/>
              <w:rPr>
                <w:sz w:val="18"/>
                <w:szCs w:val="18"/>
              </w:rPr>
            </w:pPr>
            <w:r>
              <w:rPr>
                <w:rFonts w:hint="eastAsia"/>
                <w:sz w:val="18"/>
                <w:szCs w:val="18"/>
              </w:rPr>
              <w:t>空调、通风系统的风口</w:t>
            </w:r>
          </w:p>
        </w:tc>
        <w:tc>
          <w:tcPr>
            <w:tcW w:w="2810" w:type="dxa"/>
          </w:tcPr>
          <w:p w14:paraId="6FD85374">
            <w:pPr>
              <w:spacing w:before="78" w:after="78"/>
              <w:jc w:val="center"/>
              <w:rPr>
                <w:sz w:val="18"/>
                <w:szCs w:val="18"/>
              </w:rPr>
            </w:pPr>
            <w:r>
              <w:rPr>
                <w:rFonts w:hint="eastAsia"/>
                <w:sz w:val="18"/>
                <w:szCs w:val="18"/>
              </w:rPr>
              <w:t>封闭</w:t>
            </w:r>
          </w:p>
        </w:tc>
      </w:tr>
      <w:tr w14:paraId="06AC6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6534" w:type="dxa"/>
          </w:tcPr>
          <w:p w14:paraId="02EE36F7">
            <w:pPr>
              <w:spacing w:before="78" w:after="78"/>
              <w:rPr>
                <w:sz w:val="18"/>
                <w:szCs w:val="18"/>
              </w:rPr>
            </w:pPr>
            <w:r>
              <w:rPr>
                <w:rFonts w:hint="eastAsia"/>
                <w:sz w:val="18"/>
                <w:szCs w:val="18"/>
              </w:rPr>
              <w:t>未使用的预留孔或预留管道</w:t>
            </w:r>
          </w:p>
        </w:tc>
        <w:tc>
          <w:tcPr>
            <w:tcW w:w="2810" w:type="dxa"/>
          </w:tcPr>
          <w:p w14:paraId="5932F294">
            <w:pPr>
              <w:spacing w:before="78" w:after="78"/>
              <w:jc w:val="center"/>
              <w:rPr>
                <w:sz w:val="18"/>
                <w:szCs w:val="18"/>
              </w:rPr>
            </w:pPr>
            <w:r>
              <w:rPr>
                <w:rFonts w:hint="eastAsia"/>
                <w:sz w:val="18"/>
                <w:szCs w:val="18"/>
              </w:rPr>
              <w:t>封闭</w:t>
            </w:r>
          </w:p>
        </w:tc>
      </w:tr>
    </w:tbl>
    <w:p w14:paraId="370ED5A6">
      <w:pPr>
        <w:pStyle w:val="258"/>
        <w:ind w:firstLine="0" w:firstLineChars="0"/>
      </w:pPr>
    </w:p>
    <w:p w14:paraId="3F02B548">
      <w:pPr>
        <w:pStyle w:val="276"/>
        <w:numPr>
          <w:ilvl w:val="1"/>
          <w:numId w:val="49"/>
        </w:numPr>
        <w:tabs>
          <w:tab w:val="left" w:pos="360"/>
        </w:tabs>
        <w:spacing w:before="156" w:after="156"/>
      </w:pPr>
      <w:bookmarkStart w:id="59" w:name="_Toc97537151"/>
      <w:bookmarkStart w:id="60" w:name="_Toc20747"/>
      <w:bookmarkStart w:id="61" w:name="_Toc97537112"/>
      <w:r>
        <w:rPr>
          <w:rFonts w:hint="eastAsia"/>
        </w:rPr>
        <w:t>压差法</w:t>
      </w:r>
      <w:bookmarkEnd w:id="59"/>
      <w:bookmarkEnd w:id="60"/>
      <w:bookmarkEnd w:id="61"/>
    </w:p>
    <w:p w14:paraId="22AE2446">
      <w:pPr>
        <w:pStyle w:val="277"/>
        <w:numPr>
          <w:ilvl w:val="2"/>
          <w:numId w:val="57"/>
        </w:numPr>
        <w:spacing w:before="0" w:beforeLines="0" w:after="0" w:afterLines="0"/>
        <w:rPr>
          <w:rFonts w:ascii="宋体" w:hAnsi="宋体" w:eastAsia="宋体"/>
        </w:rPr>
      </w:pPr>
      <w:r>
        <w:rPr>
          <w:rFonts w:ascii="宋体" w:hAnsi="宋体" w:eastAsia="宋体"/>
        </w:rPr>
        <w:t>压差法的检测应在50Pa和-50Pa压差下测量建筑物换气量，通过计算换气次数量化超低能耗建筑整体气密性能。</w:t>
      </w:r>
    </w:p>
    <w:p w14:paraId="2D25D34B">
      <w:pPr>
        <w:pStyle w:val="277"/>
        <w:numPr>
          <w:ilvl w:val="2"/>
          <w:numId w:val="57"/>
        </w:numPr>
        <w:spacing w:before="0" w:beforeLines="0" w:after="0" w:afterLines="0"/>
        <w:rPr>
          <w:rFonts w:ascii="宋体" w:hAnsi="宋体" w:eastAsia="宋体"/>
        </w:rPr>
      </w:pPr>
      <w:r>
        <w:rPr>
          <w:rFonts w:hint="eastAsia" w:ascii="宋体" w:hAnsi="宋体" w:eastAsia="宋体"/>
        </w:rPr>
        <w:t>采用压差法检测时，建筑室内外温差与测试空间净高的乘积不应大于250m•K，室外风速不应大于3m/s。宜同时采用红外热成像仪拍摄红外热像图，并确定建筑物的渗漏源。</w:t>
      </w:r>
    </w:p>
    <w:p w14:paraId="6E566C7E">
      <w:pPr>
        <w:pStyle w:val="277"/>
        <w:numPr>
          <w:ilvl w:val="2"/>
          <w:numId w:val="57"/>
        </w:numPr>
        <w:spacing w:before="0" w:beforeLines="0" w:after="0" w:afterLines="0"/>
        <w:rPr>
          <w:rFonts w:ascii="宋体" w:hAnsi="宋体" w:eastAsia="宋体"/>
        </w:rPr>
      </w:pPr>
      <w:r>
        <w:rPr>
          <w:rFonts w:ascii="宋体" w:hAnsi="宋体" w:eastAsia="宋体"/>
        </w:rPr>
        <w:t xml:space="preserve">在气密性测试前，建筑围护结构应完成以下工作： </w:t>
      </w:r>
    </w:p>
    <w:p w14:paraId="043E701F">
      <w:pPr>
        <w:pStyle w:val="258"/>
        <w:tabs>
          <w:tab w:val="center" w:pos="4201"/>
          <w:tab w:val="right" w:leader="dot" w:pos="9298"/>
        </w:tabs>
        <w:ind w:firstLine="420"/>
        <w:rPr>
          <w:rFonts w:ascii="Times New Roman"/>
          <w:bCs/>
          <w:szCs w:val="22"/>
        </w:rPr>
      </w:pPr>
      <w:r>
        <w:rPr>
          <w:rFonts w:ascii="Times New Roman"/>
          <w:bCs/>
          <w:szCs w:val="22"/>
        </w:rPr>
        <w:t xml:space="preserve">1.所有窗户和外门需完成安装并关闭，保持禁止出入状态； </w:t>
      </w:r>
    </w:p>
    <w:p w14:paraId="377EEAD0">
      <w:pPr>
        <w:pStyle w:val="258"/>
        <w:tabs>
          <w:tab w:val="center" w:pos="4201"/>
          <w:tab w:val="right" w:leader="dot" w:pos="9298"/>
        </w:tabs>
        <w:ind w:firstLine="420"/>
        <w:rPr>
          <w:rFonts w:ascii="Times New Roman"/>
          <w:bCs/>
          <w:szCs w:val="22"/>
        </w:rPr>
      </w:pPr>
      <w:r>
        <w:rPr>
          <w:rFonts w:ascii="Times New Roman"/>
          <w:bCs/>
          <w:szCs w:val="22"/>
        </w:rPr>
        <w:t>2.在测量时要完成建筑的气密层施工</w:t>
      </w:r>
      <w:r>
        <w:rPr>
          <w:rFonts w:hint="eastAsia" w:ascii="Times New Roman"/>
          <w:bCs/>
          <w:szCs w:val="22"/>
        </w:rPr>
        <w:t>；</w:t>
      </w:r>
    </w:p>
    <w:p w14:paraId="4D212A01">
      <w:pPr>
        <w:pStyle w:val="258"/>
        <w:tabs>
          <w:tab w:val="center" w:pos="4201"/>
          <w:tab w:val="right" w:leader="dot" w:pos="9298"/>
        </w:tabs>
        <w:ind w:firstLine="420"/>
        <w:rPr>
          <w:rFonts w:ascii="Times New Roman"/>
          <w:bCs/>
          <w:szCs w:val="22"/>
        </w:rPr>
      </w:pPr>
      <w:r>
        <w:rPr>
          <w:rFonts w:ascii="Times New Roman"/>
          <w:bCs/>
          <w:szCs w:val="22"/>
        </w:rPr>
        <w:t>3.穿墙套管、电缆井、安装井等完成密封</w:t>
      </w:r>
      <w:r>
        <w:rPr>
          <w:rFonts w:hint="eastAsia" w:ascii="Times New Roman"/>
          <w:bCs/>
          <w:szCs w:val="22"/>
        </w:rPr>
        <w:t>。</w:t>
      </w:r>
    </w:p>
    <w:p w14:paraId="6AC53511">
      <w:pPr>
        <w:pStyle w:val="277"/>
        <w:numPr>
          <w:ilvl w:val="2"/>
          <w:numId w:val="57"/>
        </w:numPr>
        <w:spacing w:before="0" w:beforeLines="0" w:after="0" w:afterLines="0"/>
        <w:rPr>
          <w:rFonts w:hAnsi="黑体" w:eastAsia="宋体"/>
          <w:bCs/>
        </w:rPr>
      </w:pPr>
      <w:r>
        <w:rPr>
          <w:rFonts w:hint="eastAsia" w:hAnsi="黑体" w:eastAsia="宋体"/>
          <w:bCs/>
        </w:rPr>
        <w:t>建筑气密性能检测可</w:t>
      </w:r>
      <w:r>
        <w:rPr>
          <w:rFonts w:hAnsi="黑体" w:eastAsia="宋体"/>
          <w:bCs/>
        </w:rPr>
        <w:t xml:space="preserve">按下列步骤进行： </w:t>
      </w:r>
    </w:p>
    <w:p w14:paraId="3984B81B">
      <w:pPr>
        <w:pStyle w:val="258"/>
        <w:tabs>
          <w:tab w:val="center" w:pos="4201"/>
          <w:tab w:val="right" w:leader="dot" w:pos="9298"/>
        </w:tabs>
        <w:ind w:firstLine="420"/>
        <w:rPr>
          <w:rFonts w:ascii="Times New Roman"/>
          <w:bCs/>
          <w:szCs w:val="22"/>
        </w:rPr>
      </w:pPr>
      <w:r>
        <w:rPr>
          <w:rFonts w:ascii="Times New Roman"/>
          <w:bCs/>
          <w:szCs w:val="22"/>
        </w:rPr>
        <w:t xml:space="preserve">1 将调速风机密封安装在房间的外门框中； </w:t>
      </w:r>
    </w:p>
    <w:p w14:paraId="60240411">
      <w:pPr>
        <w:pStyle w:val="258"/>
        <w:tabs>
          <w:tab w:val="center" w:pos="4201"/>
          <w:tab w:val="right" w:leader="dot" w:pos="9298"/>
        </w:tabs>
        <w:ind w:firstLine="420"/>
        <w:rPr>
          <w:rFonts w:ascii="Times New Roman"/>
          <w:bCs/>
          <w:szCs w:val="22"/>
        </w:rPr>
      </w:pPr>
      <w:r>
        <w:rPr>
          <w:rFonts w:ascii="Times New Roman"/>
          <w:bCs/>
          <w:szCs w:val="22"/>
        </w:rPr>
        <w:t xml:space="preserve">2 利用红外热成像仪拍摄照片，确定建筑物的渗漏源； </w:t>
      </w:r>
    </w:p>
    <w:p w14:paraId="17B3CFB8">
      <w:pPr>
        <w:pStyle w:val="258"/>
        <w:tabs>
          <w:tab w:val="center" w:pos="4201"/>
          <w:tab w:val="right" w:leader="dot" w:pos="9298"/>
        </w:tabs>
        <w:ind w:firstLine="420"/>
        <w:rPr>
          <w:rFonts w:ascii="Times New Roman"/>
          <w:bCs/>
          <w:szCs w:val="22"/>
        </w:rPr>
      </w:pPr>
      <w:r>
        <w:rPr>
          <w:rFonts w:ascii="Times New Roman"/>
          <w:bCs/>
          <w:szCs w:val="22"/>
        </w:rPr>
        <w:t xml:space="preserve">3 封堵地漏、风口等非围护结构渗漏源； </w:t>
      </w:r>
    </w:p>
    <w:p w14:paraId="75149C10">
      <w:pPr>
        <w:pStyle w:val="258"/>
        <w:tabs>
          <w:tab w:val="center" w:pos="4201"/>
          <w:tab w:val="right" w:leader="dot" w:pos="9298"/>
        </w:tabs>
        <w:ind w:firstLine="420"/>
        <w:rPr>
          <w:rFonts w:ascii="Times New Roman"/>
          <w:bCs/>
          <w:szCs w:val="22"/>
        </w:rPr>
      </w:pPr>
      <w:r>
        <w:rPr>
          <w:rFonts w:ascii="Times New Roman"/>
          <w:bCs/>
          <w:szCs w:val="22"/>
        </w:rPr>
        <w:t xml:space="preserve">4 启动风机，使建筑物内外形成稳定压差； </w:t>
      </w:r>
    </w:p>
    <w:p w14:paraId="4D6CAD73">
      <w:pPr>
        <w:pStyle w:val="258"/>
        <w:tabs>
          <w:tab w:val="center" w:pos="4201"/>
          <w:tab w:val="right" w:leader="dot" w:pos="9298"/>
        </w:tabs>
        <w:ind w:firstLine="420"/>
        <w:rPr>
          <w:rFonts w:ascii="Times New Roman"/>
          <w:bCs/>
          <w:szCs w:val="22"/>
        </w:rPr>
      </w:pPr>
      <w:r>
        <w:rPr>
          <w:rFonts w:ascii="Times New Roman"/>
          <w:bCs/>
          <w:szCs w:val="22"/>
        </w:rPr>
        <w:t xml:space="preserve">5 测量建筑物的内外压差，在建筑物内外压差分别稳定在+50Pa 和-50Pa 时，测量记录空气流量，同时记录室外空气温度和室外大气压。 </w:t>
      </w:r>
    </w:p>
    <w:p w14:paraId="0207E077">
      <w:pPr>
        <w:pStyle w:val="277"/>
        <w:numPr>
          <w:ilvl w:val="2"/>
          <w:numId w:val="57"/>
        </w:numPr>
        <w:spacing w:before="0" w:beforeLines="0" w:after="0" w:afterLines="0"/>
        <w:rPr>
          <w:rFonts w:hAnsi="黑体" w:eastAsia="宋体"/>
          <w:bCs/>
        </w:rPr>
      </w:pPr>
      <w:r>
        <w:rPr>
          <w:rFonts w:hAnsi="黑体" w:eastAsia="宋体"/>
          <w:bCs/>
        </w:rPr>
        <w:t>当室内外压差为50Pa 时，房屋每小时的换气次数应按下列公式计算：</w:t>
      </w:r>
    </w:p>
    <w:p w14:paraId="486943A7">
      <w:pPr>
        <w:jc w:val="center"/>
        <w:rPr>
          <w:rFonts w:eastAsiaTheme="minorEastAsia"/>
          <w:sz w:val="24"/>
        </w:rPr>
      </w:pPr>
      <m:oMath>
        <m:sSub>
          <m:sSubPr>
            <m:ctrlPr>
              <w:rPr>
                <w:rFonts w:ascii="Cambria Math" w:hAnsi="Cambria Math" w:eastAsiaTheme="minorEastAsia"/>
                <w:i/>
              </w:rPr>
            </m:ctrlPr>
          </m:sSubPr>
          <m:e>
            <m:r>
              <m:rPr/>
              <w:rPr>
                <w:rFonts w:ascii="Cambria Math" w:hAnsi="Cambria Math" w:eastAsiaTheme="minorEastAsia"/>
              </w:rPr>
              <m:t>n</m:t>
            </m:r>
            <m:ctrlPr>
              <w:rPr>
                <w:rFonts w:ascii="Cambria Math" w:hAnsi="Cambria Math" w:eastAsiaTheme="minorEastAsia"/>
                <w:i/>
              </w:rPr>
            </m:ctrlPr>
          </m:e>
          <m:sub>
            <m:r>
              <m:rPr>
                <m:sty m:val="p"/>
              </m:rPr>
              <w:rPr>
                <w:rFonts w:ascii="Cambria Math" w:hAnsi="Cambria Math" w:eastAsiaTheme="minorEastAsia"/>
              </w:rPr>
              <m:t>50</m:t>
            </m:r>
            <m:ctrlPr>
              <w:rPr>
                <w:rFonts w:ascii="Cambria Math" w:hAnsi="Cambria Math" w:eastAsiaTheme="minorEastAsia"/>
                <w:i/>
              </w:rPr>
            </m:ctrlPr>
          </m:sub>
        </m:sSub>
        <m:r>
          <m:rPr>
            <m:sty m:val="p"/>
          </m:rPr>
          <w:rPr>
            <w:rFonts w:ascii="Cambria Math" w:hAnsi="Cambria Math" w:eastAsiaTheme="minorEastAsia"/>
          </w:rPr>
          <m:t>=L</m:t>
        </m:r>
        <m:r>
          <m:rPr/>
          <w:rPr>
            <w:rFonts w:ascii="Cambria Math" w:hAnsi="Cambria Math" w:eastAsiaTheme="minorEastAsia"/>
          </w:rPr>
          <m:t>/V</m:t>
        </m:r>
      </m:oMath>
      <w:r>
        <w:rPr>
          <w:rFonts w:eastAsiaTheme="minorEastAsia"/>
        </w:rPr>
        <w:t xml:space="preserve">                 (B.0.6-1)</w:t>
      </w:r>
    </w:p>
    <w:p w14:paraId="1E89B06B">
      <w:pPr>
        <w:jc w:val="center"/>
        <w:rPr>
          <w:rFonts w:eastAsiaTheme="minorEastAsia"/>
          <w:sz w:val="24"/>
        </w:rPr>
      </w:pPr>
      <m:oMath>
        <m:sSub>
          <m:sSubPr>
            <m:ctrlPr>
              <w:rPr>
                <w:rFonts w:ascii="Cambria Math" w:hAnsi="Cambria Math" w:eastAsiaTheme="minorEastAsia"/>
                <w:i/>
              </w:rPr>
            </m:ctrlPr>
          </m:sSubPr>
          <m:e>
            <m:r>
              <m:rPr/>
              <w:rPr>
                <w:rFonts w:ascii="Cambria Math" w:hAnsi="Cambria Math" w:eastAsiaTheme="minorEastAsia"/>
              </w:rPr>
              <m:t>n</m:t>
            </m:r>
            <m:ctrlPr>
              <w:rPr>
                <w:rFonts w:ascii="Cambria Math" w:hAnsi="Cambria Math" w:eastAsiaTheme="minorEastAsia"/>
                <w:i/>
              </w:rPr>
            </m:ctrlPr>
          </m:e>
          <m:sub>
            <m:r>
              <m:rPr>
                <m:sty m:val="p"/>
              </m:rPr>
              <w:rPr>
                <w:rFonts w:ascii="Cambria Math" w:hAnsi="Cambria Math" w:eastAsiaTheme="minorEastAsia"/>
              </w:rPr>
              <m:t>50</m:t>
            </m:r>
            <m:ctrlPr>
              <w:rPr>
                <w:rFonts w:ascii="Cambria Math" w:hAnsi="Cambria Math" w:eastAsiaTheme="minorEastAsia"/>
                <w:i/>
              </w:rPr>
            </m:ctrlPr>
          </m:sub>
        </m:sSub>
        <m:r>
          <m:rPr>
            <m:sty m:val="p"/>
          </m:rPr>
          <w:rPr>
            <w:rFonts w:ascii="Cambria Math" w:hAnsi="Cambria Math" w:eastAsiaTheme="minorEastAsia"/>
          </w:rPr>
          <m:t>=(</m:t>
        </m:r>
        <m:sSub>
          <m:sSubPr>
            <m:ctrlPr>
              <w:rPr>
                <w:rFonts w:ascii="Cambria Math" w:hAnsi="Cambria Math" w:eastAsiaTheme="minorEastAsia"/>
                <w:i/>
              </w:rPr>
            </m:ctrlPr>
          </m:sSubPr>
          <m:e>
            <m:r>
              <m:rPr/>
              <w:rPr>
                <w:rFonts w:ascii="Cambria Math" w:hAnsi="Cambria Math" w:eastAsiaTheme="minorEastAsia"/>
              </w:rPr>
              <m:t>n</m:t>
            </m:r>
            <m:ctrlPr>
              <w:rPr>
                <w:rFonts w:ascii="Cambria Math" w:hAnsi="Cambria Math" w:eastAsiaTheme="minorEastAsia"/>
                <w:i/>
              </w:rPr>
            </m:ctrlPr>
          </m:e>
          <m:sub>
            <m:r>
              <m:rPr/>
              <w:rPr>
                <w:rFonts w:ascii="Cambria Math" w:hAnsi="Cambria Math" w:eastAsiaTheme="minorEastAsia"/>
              </w:rPr>
              <m:t>+50</m:t>
            </m:r>
            <m:ctrlPr>
              <w:rPr>
                <w:rFonts w:ascii="Cambria Math" w:hAnsi="Cambria Math" w:eastAsiaTheme="minorEastAsia"/>
                <w:i/>
              </w:rPr>
            </m:ctrlPr>
          </m:sub>
        </m:sSub>
        <m:r>
          <m:rPr/>
          <w:rPr>
            <w:rFonts w:ascii="Cambria Math" w:hAnsi="Cambria Math" w:eastAsiaTheme="minorEastAsia"/>
          </w:rPr>
          <m:t>+</m:t>
        </m:r>
        <m:sSub>
          <m:sSubPr>
            <m:ctrlPr>
              <w:rPr>
                <w:rFonts w:ascii="Cambria Math" w:hAnsi="Cambria Math" w:eastAsiaTheme="minorEastAsia"/>
                <w:i/>
              </w:rPr>
            </m:ctrlPr>
          </m:sSubPr>
          <m:e>
            <m:r>
              <m:rPr/>
              <w:rPr>
                <w:rFonts w:ascii="Cambria Math" w:hAnsi="Cambria Math" w:eastAsiaTheme="minorEastAsia"/>
              </w:rPr>
              <m:t>n</m:t>
            </m:r>
            <m:ctrlPr>
              <w:rPr>
                <w:rFonts w:ascii="Cambria Math" w:hAnsi="Cambria Math" w:eastAsiaTheme="minorEastAsia"/>
                <w:i/>
              </w:rPr>
            </m:ctrlPr>
          </m:e>
          <m:sub>
            <m:r>
              <m:rPr/>
              <w:rPr>
                <w:rFonts w:ascii="Cambria Math" w:hAnsi="Cambria Math" w:eastAsiaTheme="minorEastAsia"/>
              </w:rPr>
              <m:t>−50</m:t>
            </m:r>
            <m:ctrlPr>
              <w:rPr>
                <w:rFonts w:ascii="Cambria Math" w:hAnsi="Cambria Math" w:eastAsiaTheme="minorEastAsia"/>
                <w:i/>
              </w:rPr>
            </m:ctrlPr>
          </m:sub>
        </m:sSub>
        <m:r>
          <m:rPr/>
          <w:rPr>
            <w:rFonts w:ascii="Cambria Math" w:hAnsi="Cambria Math" w:eastAsiaTheme="minorEastAsia"/>
          </w:rPr>
          <m:t>)/2</m:t>
        </m:r>
      </m:oMath>
      <w:r>
        <w:rPr>
          <w:rFonts w:eastAsiaTheme="minorEastAsia"/>
        </w:rPr>
        <w:t xml:space="preserve">      (B.0.6-2)</w:t>
      </w:r>
    </w:p>
    <w:p w14:paraId="3A2526B3">
      <w:pPr>
        <w:autoSpaceDE w:val="0"/>
        <w:autoSpaceDN w:val="0"/>
        <w:adjustRightInd w:val="0"/>
        <w:jc w:val="left"/>
        <w:rPr>
          <w:rFonts w:asciiTheme="minorEastAsia" w:hAnsiTheme="minorEastAsia" w:eastAsiaTheme="minorEastAsia"/>
          <w:kern w:val="0"/>
          <w:szCs w:val="21"/>
        </w:rPr>
      </w:pPr>
      <w:r>
        <w:rPr>
          <w:rFonts w:asciiTheme="minorEastAsia" w:hAnsiTheme="minorEastAsia" w:eastAsiaTheme="minorEastAsia"/>
          <w:kern w:val="0"/>
          <w:szCs w:val="21"/>
        </w:rPr>
        <w:t>式中</w:t>
      </w:r>
      <w:r>
        <w:rPr>
          <w:rFonts w:hint="eastAsia" w:asciiTheme="minorEastAsia" w:hAnsiTheme="minorEastAsia" w:eastAsiaTheme="minorEastAsia"/>
          <w:kern w:val="0"/>
          <w:szCs w:val="21"/>
        </w:rPr>
        <w:t>：</w:t>
      </w:r>
    </w:p>
    <w:p w14:paraId="52841086">
      <w:pPr>
        <w:autoSpaceDE w:val="0"/>
        <w:autoSpaceDN w:val="0"/>
        <w:adjustRightInd w:val="0"/>
        <w:ind w:firstLine="420" w:firstLineChars="200"/>
        <w:jc w:val="left"/>
        <w:rPr>
          <w:rFonts w:asciiTheme="minorEastAsia" w:hAnsiTheme="minorEastAsia" w:eastAsiaTheme="minorEastAsia"/>
          <w:szCs w:val="21"/>
        </w:rPr>
      </w:pPr>
      <m:oMath>
        <m:sSub>
          <m:sSubPr>
            <m:ctrlPr>
              <w:rPr>
                <w:rFonts w:ascii="Cambria Math" w:hAnsi="Cambria Math" w:eastAsiaTheme="minorEastAsia"/>
                <w:szCs w:val="21"/>
              </w:rPr>
            </m:ctrlPr>
          </m:sSubPr>
          <m:e>
            <m:r>
              <m:rPr/>
              <w:rPr>
                <w:rFonts w:ascii="Cambria Math" w:hAnsi="Cambria Math" w:eastAsiaTheme="minorEastAsia"/>
                <w:szCs w:val="21"/>
              </w:rPr>
              <m:t>n</m:t>
            </m:r>
            <m:ctrlPr>
              <w:rPr>
                <w:rFonts w:ascii="Cambria Math" w:hAnsi="Cambria Math" w:eastAsiaTheme="minorEastAsia"/>
                <w:szCs w:val="21"/>
              </w:rPr>
            </m:ctrlPr>
          </m:e>
          <m:sub>
            <m:r>
              <m:rPr>
                <m:sty m:val="p"/>
              </m:rPr>
              <w:rPr>
                <w:rFonts w:ascii="Cambria Math" w:hAnsi="Cambria Math" w:eastAsiaTheme="minorEastAsia"/>
                <w:szCs w:val="21"/>
              </w:rPr>
              <m:t>+50</m:t>
            </m:r>
            <m:ctrlPr>
              <w:rPr>
                <w:rFonts w:ascii="Cambria Math" w:hAnsi="Cambria Math" w:eastAsiaTheme="minorEastAsia"/>
                <w:szCs w:val="21"/>
              </w:rPr>
            </m:ctrlPr>
          </m:sub>
        </m:sSub>
      </m:oMath>
      <w:r>
        <w:rPr>
          <w:rFonts w:asciiTheme="minorEastAsia" w:hAnsiTheme="minorEastAsia" w:eastAsiaTheme="minorEastAsia"/>
          <w:szCs w:val="21"/>
        </w:rPr>
        <w:t>——室内外压差为正压50Pa 时房屋的小时换气次数，h</w:t>
      </w:r>
      <w:r>
        <w:rPr>
          <w:rFonts w:asciiTheme="minorEastAsia" w:hAnsiTheme="minorEastAsia" w:eastAsiaTheme="minorEastAsia"/>
          <w:szCs w:val="21"/>
          <w:vertAlign w:val="superscript"/>
        </w:rPr>
        <w:t>-1</w:t>
      </w:r>
      <w:r>
        <w:rPr>
          <w:rFonts w:asciiTheme="minorEastAsia" w:hAnsiTheme="minorEastAsia" w:eastAsiaTheme="minorEastAsia"/>
          <w:szCs w:val="21"/>
        </w:rPr>
        <w:t>；</w:t>
      </w:r>
    </w:p>
    <w:p w14:paraId="00EBF477">
      <w:pPr>
        <w:ind w:firstLine="420" w:firstLineChars="200"/>
        <w:rPr>
          <w:rFonts w:asciiTheme="minorEastAsia" w:hAnsiTheme="minorEastAsia" w:eastAsiaTheme="minorEastAsia"/>
          <w:szCs w:val="21"/>
        </w:rPr>
      </w:pPr>
      <m:oMath>
        <m:sSub>
          <m:sSubPr>
            <m:ctrlPr>
              <w:rPr>
                <w:rFonts w:ascii="Cambria Math" w:hAnsi="Cambria Math" w:eastAsiaTheme="minorEastAsia"/>
                <w:szCs w:val="21"/>
              </w:rPr>
            </m:ctrlPr>
          </m:sSubPr>
          <m:e>
            <m:r>
              <m:rPr/>
              <w:rPr>
                <w:rFonts w:ascii="Cambria Math" w:hAnsi="Cambria Math" w:eastAsiaTheme="minorEastAsia"/>
                <w:szCs w:val="21"/>
              </w:rPr>
              <m:t>n</m:t>
            </m:r>
            <m:ctrlPr>
              <w:rPr>
                <w:rFonts w:ascii="Cambria Math" w:hAnsi="Cambria Math" w:eastAsiaTheme="minorEastAsia"/>
                <w:szCs w:val="21"/>
              </w:rPr>
            </m:ctrlPr>
          </m:e>
          <m:sub>
            <m:r>
              <m:rPr>
                <m:sty m:val="p"/>
              </m:rPr>
              <w:rPr>
                <w:rFonts w:ascii="Cambria Math" w:hAnsi="Cambria Math" w:eastAsiaTheme="minorEastAsia"/>
                <w:szCs w:val="21"/>
              </w:rPr>
              <m:t>−50</m:t>
            </m:r>
            <m:ctrlPr>
              <w:rPr>
                <w:rFonts w:ascii="Cambria Math" w:hAnsi="Cambria Math" w:eastAsiaTheme="minorEastAsia"/>
                <w:szCs w:val="21"/>
              </w:rPr>
            </m:ctrlPr>
          </m:sub>
        </m:sSub>
      </m:oMath>
      <w:r>
        <w:rPr>
          <w:rFonts w:asciiTheme="minorEastAsia" w:hAnsiTheme="minorEastAsia" w:eastAsiaTheme="minorEastAsia"/>
          <w:szCs w:val="21"/>
        </w:rPr>
        <w:t xml:space="preserve"> ——室内外压差为负压50Pa 时房屋的小时换气次数，h</w:t>
      </w:r>
      <w:r>
        <w:rPr>
          <w:rFonts w:asciiTheme="minorEastAsia" w:hAnsiTheme="minorEastAsia" w:eastAsiaTheme="minorEastAsia"/>
          <w:szCs w:val="21"/>
          <w:vertAlign w:val="superscript"/>
        </w:rPr>
        <w:t>-1</w:t>
      </w:r>
      <w:r>
        <w:rPr>
          <w:rFonts w:asciiTheme="minorEastAsia" w:hAnsiTheme="minorEastAsia" w:eastAsiaTheme="minorEastAsia"/>
          <w:szCs w:val="21"/>
        </w:rPr>
        <w:t>；</w:t>
      </w:r>
    </w:p>
    <w:p w14:paraId="76AA8682">
      <w:pPr>
        <w:ind w:firstLine="420" w:firstLineChars="200"/>
        <w:rPr>
          <w:rFonts w:asciiTheme="minorEastAsia" w:hAnsiTheme="minorEastAsia" w:eastAsiaTheme="minorEastAsia"/>
          <w:szCs w:val="21"/>
        </w:rPr>
      </w:pPr>
      <m:oMath>
        <m:sSub>
          <m:sSubPr>
            <m:ctrlPr>
              <w:rPr>
                <w:rFonts w:ascii="Cambria Math" w:hAnsi="Cambria Math" w:eastAsiaTheme="minorEastAsia"/>
                <w:szCs w:val="21"/>
              </w:rPr>
            </m:ctrlPr>
          </m:sSubPr>
          <m:e>
            <m:r>
              <m:rPr/>
              <w:rPr>
                <w:rFonts w:ascii="Cambria Math" w:hAnsi="Cambria Math" w:eastAsiaTheme="minorEastAsia"/>
                <w:szCs w:val="21"/>
              </w:rPr>
              <m:t>n</m:t>
            </m:r>
            <m:ctrlPr>
              <w:rPr>
                <w:rFonts w:ascii="Cambria Math" w:hAnsi="Cambria Math" w:eastAsiaTheme="minorEastAsia"/>
                <w:szCs w:val="21"/>
              </w:rPr>
            </m:ctrlPr>
          </m:e>
          <m:sub>
            <m:r>
              <m:rPr>
                <m:sty m:val="p"/>
              </m:rPr>
              <w:rPr>
                <w:rFonts w:ascii="Cambria Math" w:hAnsi="Cambria Math" w:eastAsiaTheme="minorEastAsia"/>
                <w:szCs w:val="21"/>
              </w:rPr>
              <m:t>50</m:t>
            </m:r>
            <m:ctrlPr>
              <w:rPr>
                <w:rFonts w:ascii="Cambria Math" w:hAnsi="Cambria Math" w:eastAsiaTheme="minorEastAsia"/>
                <w:szCs w:val="21"/>
              </w:rPr>
            </m:ctrlPr>
          </m:sub>
        </m:sSub>
      </m:oMath>
      <w:r>
        <w:rPr>
          <w:rFonts w:asciiTheme="minorEastAsia" w:hAnsiTheme="minorEastAsia" w:eastAsiaTheme="minorEastAsia"/>
          <w:szCs w:val="21"/>
        </w:rPr>
        <w:t xml:space="preserve"> ——室内外压差为50Pa 时房屋的小时换气次数，h</w:t>
      </w:r>
      <w:r>
        <w:rPr>
          <w:rFonts w:asciiTheme="minorEastAsia" w:hAnsiTheme="minorEastAsia" w:eastAsiaTheme="minorEastAsia"/>
          <w:szCs w:val="21"/>
          <w:vertAlign w:val="superscript"/>
        </w:rPr>
        <w:t>-1</w:t>
      </w:r>
      <w:r>
        <w:rPr>
          <w:rFonts w:asciiTheme="minorEastAsia" w:hAnsiTheme="minorEastAsia" w:eastAsiaTheme="minorEastAsia"/>
          <w:szCs w:val="21"/>
        </w:rPr>
        <w:t>；</w:t>
      </w:r>
    </w:p>
    <w:p w14:paraId="00BF2070">
      <w:pPr>
        <w:ind w:firstLine="420" w:firstLineChars="200"/>
        <w:rPr>
          <w:rFonts w:asciiTheme="minorEastAsia" w:hAnsiTheme="minorEastAsia" w:eastAsiaTheme="minorEastAsia"/>
          <w:szCs w:val="21"/>
        </w:rPr>
      </w:pPr>
      <w:r>
        <w:rPr>
          <w:rFonts w:asciiTheme="minorEastAsia" w:hAnsiTheme="minorEastAsia" w:eastAsiaTheme="minorEastAsia"/>
          <w:szCs w:val="21"/>
        </w:rPr>
        <w:t>L ——空气流量的平均值，m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p w14:paraId="67A56884">
      <w:pPr>
        <w:ind w:firstLine="420" w:firstLineChars="200"/>
        <w:rPr>
          <w:rFonts w:asciiTheme="minorEastAsia" w:hAnsiTheme="minorEastAsia" w:eastAsiaTheme="minorEastAsia"/>
          <w:szCs w:val="21"/>
        </w:rPr>
      </w:pPr>
      <w:r>
        <w:rPr>
          <w:rFonts w:asciiTheme="minorEastAsia" w:hAnsiTheme="minorEastAsia" w:eastAsiaTheme="minorEastAsia"/>
          <w:szCs w:val="21"/>
        </w:rPr>
        <w:t>V ——检测房屋的换气体积，m</w:t>
      </w:r>
      <w:r>
        <w:rPr>
          <w:rFonts w:asciiTheme="minorEastAsia" w:hAnsiTheme="minorEastAsia" w:eastAsiaTheme="minorEastAsia"/>
          <w:szCs w:val="21"/>
          <w:vertAlign w:val="superscript"/>
        </w:rPr>
        <w:t>3</w:t>
      </w:r>
      <w:r>
        <w:rPr>
          <w:rFonts w:asciiTheme="minorEastAsia" w:hAnsiTheme="minorEastAsia" w:eastAsiaTheme="minorEastAsia"/>
          <w:szCs w:val="21"/>
        </w:rPr>
        <w:t>。</w:t>
      </w:r>
    </w:p>
    <w:p w14:paraId="206B71BB">
      <w:pPr>
        <w:pStyle w:val="276"/>
        <w:numPr>
          <w:ilvl w:val="1"/>
          <w:numId w:val="49"/>
        </w:numPr>
        <w:tabs>
          <w:tab w:val="left" w:pos="360"/>
        </w:tabs>
        <w:spacing w:before="156" w:after="156"/>
      </w:pPr>
      <w:bookmarkStart w:id="62" w:name="_Toc97537113"/>
      <w:bookmarkStart w:id="63" w:name="_Toc97537152"/>
      <w:bookmarkStart w:id="64" w:name="_Toc20971"/>
      <w:r>
        <w:rPr>
          <w:rFonts w:hint="eastAsia"/>
        </w:rPr>
        <w:t>示踪气体法</w:t>
      </w:r>
      <w:bookmarkEnd w:id="62"/>
      <w:bookmarkEnd w:id="63"/>
      <w:bookmarkEnd w:id="64"/>
    </w:p>
    <w:p w14:paraId="63EC199D">
      <w:pPr>
        <w:pStyle w:val="362"/>
        <w:numPr>
          <w:ilvl w:val="2"/>
          <w:numId w:val="58"/>
        </w:numPr>
        <w:overflowPunct w:val="0"/>
        <w:snapToGrid w:val="0"/>
        <w:spacing w:line="309" w:lineRule="exact"/>
        <w:ind w:firstLineChars="0"/>
        <w:outlineLvl w:val="2"/>
        <w:rPr>
          <w:rStyle w:val="698"/>
        </w:rPr>
      </w:pPr>
      <w:r>
        <w:rPr>
          <w:rStyle w:val="698"/>
          <w:rFonts w:asciiTheme="minorEastAsia" w:hAnsiTheme="minorEastAsia" w:eastAsiaTheme="minorEastAsia"/>
        </w:rPr>
        <w:t>采用</w:t>
      </w:r>
      <w:r>
        <w:rPr>
          <w:rStyle w:val="698"/>
          <w:rFonts w:hint="eastAsia" w:asciiTheme="minorEastAsia" w:hAnsiTheme="minorEastAsia" w:eastAsiaTheme="minorEastAsia"/>
        </w:rPr>
        <w:t>示踪气体法</w:t>
      </w:r>
      <w:r>
        <w:rPr>
          <w:rStyle w:val="698"/>
          <w:rFonts w:asciiTheme="minorEastAsia" w:hAnsiTheme="minorEastAsia" w:eastAsiaTheme="minorEastAsia"/>
        </w:rPr>
        <w:t>检测时</w:t>
      </w:r>
      <w:r>
        <w:rPr>
          <w:rStyle w:val="698"/>
          <w:rFonts w:hint="eastAsia" w:asciiTheme="minorEastAsia" w:hAnsiTheme="minorEastAsia" w:eastAsiaTheme="minorEastAsia"/>
        </w:rPr>
        <w:t>，室外风速不应大于3m/s。示踪气体宜采用二氧化碳或六氟化硫。测试现场应布置搅拌风扇。</w:t>
      </w:r>
    </w:p>
    <w:p w14:paraId="4964A6BC">
      <w:pPr>
        <w:pStyle w:val="362"/>
        <w:numPr>
          <w:ilvl w:val="2"/>
          <w:numId w:val="58"/>
        </w:numPr>
        <w:overflowPunct w:val="0"/>
        <w:snapToGrid w:val="0"/>
        <w:spacing w:line="309" w:lineRule="exact"/>
        <w:ind w:firstLineChars="0"/>
        <w:outlineLvl w:val="2"/>
        <w:rPr>
          <w:rStyle w:val="698"/>
          <w:rFonts w:asciiTheme="minorEastAsia" w:hAnsiTheme="minorEastAsia" w:eastAsiaTheme="minorEastAsia"/>
        </w:rPr>
      </w:pPr>
      <w:r>
        <w:rPr>
          <w:rStyle w:val="698"/>
          <w:rFonts w:hint="eastAsia" w:asciiTheme="minorEastAsia" w:hAnsiTheme="minorEastAsia" w:eastAsiaTheme="minorEastAsia"/>
        </w:rPr>
        <w:t>测试前，应测量建筑内的示踪气体背景浓度和示踪气体室外浓度</w:t>
      </w:r>
      <w:r>
        <w:rPr>
          <w:rStyle w:val="698"/>
          <w:rFonts w:asciiTheme="minorEastAsia" w:hAnsiTheme="minorEastAsia" w:eastAsiaTheme="minorEastAsia"/>
        </w:rPr>
        <w:t>。</w:t>
      </w:r>
    </w:p>
    <w:p w14:paraId="2015594A">
      <w:pPr>
        <w:pStyle w:val="362"/>
        <w:numPr>
          <w:ilvl w:val="2"/>
          <w:numId w:val="58"/>
        </w:numPr>
        <w:overflowPunct w:val="0"/>
        <w:snapToGrid w:val="0"/>
        <w:spacing w:line="309" w:lineRule="exact"/>
        <w:ind w:firstLineChars="0"/>
        <w:outlineLvl w:val="2"/>
        <w:rPr>
          <w:rStyle w:val="698"/>
          <w:rFonts w:asciiTheme="minorEastAsia" w:hAnsiTheme="minorEastAsia" w:eastAsiaTheme="minorEastAsia"/>
        </w:rPr>
      </w:pPr>
      <w:r>
        <w:rPr>
          <w:rStyle w:val="698"/>
          <w:rFonts w:hint="eastAsia" w:asciiTheme="minorEastAsia" w:hAnsiTheme="minorEastAsia" w:eastAsiaTheme="minorEastAsia"/>
        </w:rPr>
        <w:t>示踪气体的目标浓度应满足：CO2≥5000ppm，SF6≥100ppm。</w:t>
      </w:r>
    </w:p>
    <w:p w14:paraId="079E75B2">
      <w:pPr>
        <w:pStyle w:val="362"/>
        <w:numPr>
          <w:ilvl w:val="2"/>
          <w:numId w:val="58"/>
        </w:numPr>
        <w:overflowPunct w:val="0"/>
        <w:snapToGrid w:val="0"/>
        <w:spacing w:line="309" w:lineRule="exact"/>
        <w:ind w:firstLineChars="0"/>
        <w:outlineLvl w:val="2"/>
        <w:rPr>
          <w:rStyle w:val="698"/>
          <w:rFonts w:asciiTheme="minorEastAsia" w:hAnsiTheme="minorEastAsia" w:eastAsiaTheme="minorEastAsia"/>
        </w:rPr>
      </w:pPr>
      <w:r>
        <w:rPr>
          <w:rStyle w:val="698"/>
          <w:rFonts w:hint="eastAsia" w:asciiTheme="minorEastAsia" w:hAnsiTheme="minorEastAsia" w:eastAsiaTheme="minorEastAsia"/>
        </w:rPr>
        <w:t>现场示踪气体浓度测点的数量应根据测试空间容积和净高确定，并应符合下列规定：</w:t>
      </w:r>
    </w:p>
    <w:p w14:paraId="2DC9C04A">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　　1　测试空间容积≤1.25万m</w:t>
      </w:r>
      <w:r>
        <w:rPr>
          <w:rFonts w:hint="eastAsia" w:ascii="宋体" w:hAnsi="宋体" w:cs="宋体"/>
          <w:bCs/>
          <w:color w:val="000000"/>
          <w:szCs w:val="21"/>
          <w:vertAlign w:val="superscript"/>
        </w:rPr>
        <w:t>3</w:t>
      </w:r>
      <w:r>
        <w:rPr>
          <w:rFonts w:hint="eastAsia" w:ascii="宋体" w:hAnsi="宋体" w:cs="宋体"/>
          <w:bCs/>
          <w:color w:val="000000"/>
          <w:szCs w:val="21"/>
        </w:rPr>
        <w:t>时，至少应设5个测点。</w:t>
      </w:r>
    </w:p>
    <w:p w14:paraId="7A2AE717">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　　2　测试空间容积大于1.25万m</w:t>
      </w:r>
      <w:r>
        <w:rPr>
          <w:rFonts w:hint="eastAsia" w:ascii="宋体" w:hAnsi="宋体" w:cs="宋体"/>
          <w:bCs/>
          <w:color w:val="000000"/>
          <w:szCs w:val="21"/>
          <w:vertAlign w:val="superscript"/>
        </w:rPr>
        <w:t>3</w:t>
      </w:r>
      <w:r>
        <w:rPr>
          <w:rFonts w:hint="eastAsia" w:ascii="宋体" w:hAnsi="宋体" w:cs="宋体"/>
          <w:bCs/>
          <w:color w:val="000000"/>
          <w:szCs w:val="21"/>
        </w:rPr>
        <w:t>、小于或等于6万m</w:t>
      </w:r>
      <w:r>
        <w:rPr>
          <w:rFonts w:hint="eastAsia" w:ascii="宋体" w:hAnsi="宋体" w:cs="宋体"/>
          <w:bCs/>
          <w:color w:val="000000"/>
          <w:szCs w:val="21"/>
          <w:vertAlign w:val="superscript"/>
        </w:rPr>
        <w:t>3</w:t>
      </w:r>
      <w:r>
        <w:rPr>
          <w:rFonts w:hint="eastAsia" w:ascii="宋体" w:hAnsi="宋体" w:cs="宋体"/>
          <w:bCs/>
          <w:color w:val="000000"/>
          <w:szCs w:val="21"/>
        </w:rPr>
        <w:t>时，容积每增加2500m</w:t>
      </w:r>
      <w:r>
        <w:rPr>
          <w:rFonts w:hint="eastAsia" w:ascii="宋体" w:hAnsi="宋体" w:cs="宋体"/>
          <w:bCs/>
          <w:color w:val="000000"/>
          <w:szCs w:val="21"/>
          <w:vertAlign w:val="superscript"/>
        </w:rPr>
        <w:t>3</w:t>
      </w:r>
      <w:r>
        <w:rPr>
          <w:rFonts w:hint="eastAsia" w:ascii="宋体" w:hAnsi="宋体" w:cs="宋体"/>
          <w:bCs/>
          <w:color w:val="000000"/>
          <w:szCs w:val="21"/>
        </w:rPr>
        <w:t>，应增设1个测点。</w:t>
      </w:r>
    </w:p>
    <w:p w14:paraId="51CA9604">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　　3　</w:t>
      </w:r>
      <w:r>
        <w:rPr>
          <w:rFonts w:ascii="宋体" w:hAnsi="宋体" w:cs="宋体"/>
          <w:bCs/>
          <w:color w:val="000000"/>
          <w:szCs w:val="21"/>
        </w:rPr>
        <w:t>测试空间容积大于6万</w:t>
      </w:r>
      <w:r>
        <w:rPr>
          <w:rFonts w:hint="eastAsia" w:ascii="宋体" w:hAnsi="宋体" w:cs="宋体"/>
          <w:bCs/>
          <w:color w:val="000000"/>
          <w:szCs w:val="21"/>
        </w:rPr>
        <w:t>m</w:t>
      </w:r>
      <w:r>
        <w:rPr>
          <w:rFonts w:hint="eastAsia" w:ascii="宋体" w:hAnsi="宋体" w:cs="宋体"/>
          <w:bCs/>
          <w:color w:val="000000"/>
          <w:szCs w:val="21"/>
          <w:vertAlign w:val="superscript"/>
        </w:rPr>
        <w:t>3</w:t>
      </w:r>
      <w:r>
        <w:rPr>
          <w:rFonts w:ascii="宋体" w:hAnsi="宋体" w:cs="宋体"/>
          <w:bCs/>
          <w:color w:val="000000"/>
          <w:szCs w:val="21"/>
        </w:rPr>
        <w:t>时，应至少设30个测点</w:t>
      </w:r>
      <w:r>
        <w:rPr>
          <w:rFonts w:hint="eastAsia" w:ascii="宋体" w:hAnsi="宋体" w:cs="宋体"/>
          <w:bCs/>
          <w:color w:val="000000"/>
          <w:szCs w:val="21"/>
        </w:rPr>
        <w:t>。</w:t>
      </w:r>
    </w:p>
    <w:p w14:paraId="73F1C405">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　　4　</w:t>
      </w:r>
      <w:r>
        <w:rPr>
          <w:rFonts w:ascii="宋体" w:hAnsi="宋体" w:cs="宋体"/>
          <w:bCs/>
          <w:color w:val="000000"/>
          <w:szCs w:val="21"/>
        </w:rPr>
        <w:t>测点沿高度方向分层布置，每层高度不宜大于7m</w:t>
      </w:r>
      <w:r>
        <w:rPr>
          <w:rFonts w:hint="eastAsia" w:ascii="宋体" w:hAnsi="宋体" w:cs="宋体"/>
          <w:bCs/>
          <w:color w:val="000000"/>
          <w:szCs w:val="21"/>
        </w:rPr>
        <w:t>。</w:t>
      </w:r>
    </w:p>
    <w:p w14:paraId="25CB43C9">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　　5　</w:t>
      </w:r>
      <w:r>
        <w:rPr>
          <w:rFonts w:ascii="宋体" w:hAnsi="宋体" w:cs="宋体"/>
          <w:bCs/>
          <w:color w:val="000000"/>
          <w:szCs w:val="21"/>
        </w:rPr>
        <w:t>每个测点代表的体积宜一致。</w:t>
      </w:r>
    </w:p>
    <w:p w14:paraId="27BFD254">
      <w:pPr>
        <w:pStyle w:val="362"/>
        <w:numPr>
          <w:ilvl w:val="2"/>
          <w:numId w:val="58"/>
        </w:numPr>
        <w:overflowPunct w:val="0"/>
        <w:snapToGrid w:val="0"/>
        <w:spacing w:line="309" w:lineRule="exact"/>
        <w:ind w:firstLineChars="0"/>
        <w:outlineLvl w:val="2"/>
        <w:rPr>
          <w:rStyle w:val="698"/>
          <w:rFonts w:asciiTheme="minorEastAsia" w:hAnsiTheme="minorEastAsia" w:eastAsiaTheme="minorEastAsia"/>
        </w:rPr>
      </w:pPr>
      <w:r>
        <w:rPr>
          <w:rStyle w:val="698"/>
          <w:rFonts w:hint="eastAsia" w:asciiTheme="minorEastAsia" w:hAnsiTheme="minorEastAsia" w:eastAsiaTheme="minorEastAsia"/>
        </w:rPr>
        <w:t>测量开始后，应每5min记录1次各测点示踪气体浓度，并持续记录6h。</w:t>
      </w:r>
    </w:p>
    <w:p w14:paraId="1FC4EF2B">
      <w:pPr>
        <w:pStyle w:val="362"/>
        <w:numPr>
          <w:ilvl w:val="2"/>
          <w:numId w:val="58"/>
        </w:numPr>
        <w:overflowPunct w:val="0"/>
        <w:snapToGrid w:val="0"/>
        <w:spacing w:line="309" w:lineRule="exact"/>
        <w:ind w:firstLineChars="0"/>
        <w:outlineLvl w:val="2"/>
        <w:rPr>
          <w:rStyle w:val="698"/>
          <w:rFonts w:asciiTheme="minorEastAsia" w:hAnsiTheme="minorEastAsia" w:eastAsiaTheme="minorEastAsia"/>
        </w:rPr>
      </w:pPr>
      <w:r>
        <w:rPr>
          <w:rStyle w:val="698"/>
          <w:rFonts w:hint="eastAsia" w:asciiTheme="minorEastAsia" w:hAnsiTheme="minorEastAsia" w:eastAsiaTheme="minorEastAsia"/>
        </w:rPr>
        <w:t>测试空间在自然压差下的换气次数(Nn)可按下列公式计算：</w:t>
      </w:r>
    </w:p>
    <w:p w14:paraId="52DD7F78">
      <w:pPr>
        <w:pStyle w:val="362"/>
        <w:overflowPunct w:val="0"/>
        <w:snapToGrid w:val="0"/>
        <w:spacing w:line="309" w:lineRule="exact"/>
        <w:ind w:firstLine="0" w:firstLineChars="0"/>
        <w:rPr>
          <w:rStyle w:val="698"/>
          <w:rFonts w:asciiTheme="minorEastAsia" w:hAnsiTheme="minorEastAsia" w:eastAsiaTheme="minorEastAsia"/>
        </w:rPr>
      </w:pPr>
    </w:p>
    <w:p w14:paraId="3B4E3E81">
      <w:pPr>
        <w:jc w:val="right"/>
        <w:rPr>
          <w:rFonts w:ascii="宋体" w:hAnsi="宋体" w:cs="宋体"/>
          <w:color w:val="000000"/>
          <w:szCs w:val="21"/>
        </w:rPr>
      </w:pP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r>
          <m:rPr/>
          <w:rPr>
            <w:rFonts w:ascii="Cambria Math" w:hAnsi="Cambria Math"/>
            <w:szCs w:val="21"/>
          </w:rPr>
          <m:t>=</m:t>
        </m:r>
        <m:f>
          <m:fPr>
            <m:ctrlPr>
              <w:rPr>
                <w:rFonts w:ascii="Cambria Math" w:hAnsi="Cambria Math"/>
                <w:i/>
                <w:szCs w:val="21"/>
              </w:rPr>
            </m:ctrlPr>
          </m:fPr>
          <m:num>
            <m:f>
              <m:fPr>
                <m:ctrlPr>
                  <w:rPr>
                    <w:rFonts w:ascii="Cambria Math" w:hAnsi="Cambria Math"/>
                    <w:i/>
                    <w:szCs w:val="21"/>
                  </w:rPr>
                </m:ctrlPr>
              </m:fPr>
              <m:num>
                <m:r>
                  <m:rPr/>
                  <w:rPr>
                    <w:rFonts w:ascii="Cambria Math" w:hAnsi="Cambria Math"/>
                    <w:szCs w:val="21"/>
                  </w:rPr>
                  <m:t>1</m:t>
                </m:r>
                <m:ctrlPr>
                  <w:rPr>
                    <w:rFonts w:ascii="Cambria Math" w:hAnsi="Cambria Math"/>
                    <w:i/>
                    <w:szCs w:val="21"/>
                  </w:rPr>
                </m:ctrlPr>
              </m:num>
              <m:den>
                <m:r>
                  <m:rPr/>
                  <w:rPr>
                    <w:rFonts w:ascii="Cambria Math" w:hAnsi="Cambria Math"/>
                    <w:szCs w:val="21"/>
                  </w:rPr>
                  <m:t>n</m:t>
                </m:r>
                <m:ctrlPr>
                  <w:rPr>
                    <w:rFonts w:ascii="Cambria Math" w:hAnsi="Cambria Math"/>
                    <w:i/>
                    <w:szCs w:val="21"/>
                  </w:rPr>
                </m:ctrlPr>
              </m:den>
            </m:f>
            <m:r>
              <m:rPr/>
              <w:rPr>
                <w:rFonts w:ascii="Cambria Math" w:hAnsi="Cambria Math"/>
                <w:szCs w:val="21"/>
              </w:rPr>
              <m:t>(</m:t>
            </m:r>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n</m:t>
                </m:r>
                <m:ctrlPr>
                  <w:rPr>
                    <w:rFonts w:ascii="Cambria Math" w:hAnsi="Cambria Math"/>
                    <w:i/>
                    <w:szCs w:val="21"/>
                  </w:rPr>
                </m:ctrlPr>
              </m:sup>
              <m:e>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ctrlPr>
                  <w:rPr>
                    <w:rFonts w:ascii="Cambria Math" w:hAnsi="Cambria Math"/>
                    <w:i/>
                    <w:szCs w:val="21"/>
                  </w:rPr>
                </m:ctrlPr>
              </m:e>
            </m:nary>
            <m:r>
              <m:rPr/>
              <w:rPr>
                <w:rFonts w:ascii="Cambria Math" w:hAnsi="Cambria Math"/>
                <w:szCs w:val="21"/>
              </w:rPr>
              <m:t>)(</m:t>
            </m:r>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n</m:t>
                </m:r>
                <m:ctrlPr>
                  <w:rPr>
                    <w:rFonts w:ascii="Cambria Math" w:hAnsi="Cambria Math"/>
                    <w:i/>
                    <w:szCs w:val="21"/>
                  </w:rPr>
                </m:ctrlPr>
              </m:sup>
              <m:e>
                <m:sSub>
                  <m:sSubPr>
                    <m:ctrlPr>
                      <w:rPr>
                        <w:rFonts w:ascii="Cambria Math" w:hAnsi="Cambria Math"/>
                        <w:i/>
                        <w:szCs w:val="21"/>
                      </w:rPr>
                    </m:ctrlPr>
                  </m:sSubPr>
                  <m:e>
                    <m:r>
                      <m:rPr/>
                      <w:rPr>
                        <w:rFonts w:ascii="Cambria Math" w:hAnsi="Cambria Math"/>
                        <w:szCs w:val="21"/>
                      </w:rPr>
                      <m:t>y</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ctrlPr>
                  <w:rPr>
                    <w:rFonts w:ascii="Cambria Math" w:hAnsi="Cambria Math"/>
                    <w:i/>
                    <w:szCs w:val="21"/>
                  </w:rPr>
                </m:ctrlPr>
              </m:e>
            </m:nary>
            <m:r>
              <m:rPr/>
              <w:rPr>
                <w:rFonts w:ascii="Cambria Math" w:hAnsi="Cambria Math"/>
                <w:szCs w:val="21"/>
              </w:rPr>
              <m:t>)−</m:t>
            </m:r>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n</m:t>
                </m:r>
                <m:ctrlPr>
                  <w:rPr>
                    <w:rFonts w:ascii="Cambria Math" w:hAnsi="Cambria Math"/>
                    <w:i/>
                    <w:szCs w:val="21"/>
                  </w:rPr>
                </m:ctrlPr>
              </m:sup>
              <m:e>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y</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ctrlPr>
                  <w:rPr>
                    <w:rFonts w:ascii="Cambria Math" w:hAnsi="Cambria Math"/>
                    <w:i/>
                    <w:szCs w:val="21"/>
                  </w:rPr>
                </m:ctrlPr>
              </m:e>
            </m:nary>
            <m:ctrlPr>
              <w:rPr>
                <w:rFonts w:ascii="Cambria Math" w:hAnsi="Cambria Math"/>
                <w:i/>
                <w:szCs w:val="21"/>
              </w:rPr>
            </m:ctrlPr>
          </m:num>
          <m:den>
            <m:r>
              <m:rPr/>
              <w:rPr>
                <w:rFonts w:ascii="Cambria Math" w:hAnsi="Cambria Math"/>
                <w:szCs w:val="21"/>
              </w:rPr>
              <m:t>(</m:t>
            </m:r>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n</m:t>
                </m:r>
                <m:ctrlPr>
                  <w:rPr>
                    <w:rFonts w:ascii="Cambria Math" w:hAnsi="Cambria Math"/>
                    <w:i/>
                    <w:szCs w:val="21"/>
                  </w:rPr>
                </m:ctrlPr>
              </m:sup>
              <m:e>
                <m:sSubSup>
                  <m:sSubSupPr>
                    <m:ctrlPr>
                      <w:rPr>
                        <w:rFonts w:ascii="Cambria Math" w:hAnsi="Cambria Math"/>
                        <w:i/>
                        <w:szCs w:val="21"/>
                      </w:rPr>
                    </m:ctrlPr>
                  </m:sSubSupPr>
                  <m:e>
                    <m:r>
                      <m:rPr/>
                      <w:rPr>
                        <w:rFonts w:ascii="Cambria Math" w:hAnsi="Cambria Math"/>
                        <w:szCs w:val="21"/>
                      </w:rPr>
                      <m:t>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up>
                    <m:r>
                      <m:rPr/>
                      <w:rPr>
                        <w:rFonts w:ascii="Cambria Math" w:hAnsi="Cambria Math"/>
                        <w:szCs w:val="21"/>
                      </w:rPr>
                      <m:t>2</m:t>
                    </m:r>
                    <m:ctrlPr>
                      <w:rPr>
                        <w:rFonts w:ascii="Cambria Math" w:hAnsi="Cambria Math"/>
                        <w:i/>
                        <w:szCs w:val="21"/>
                      </w:rPr>
                    </m:ctrlPr>
                  </m:sup>
                </m:sSubSup>
                <m:ctrlPr>
                  <w:rPr>
                    <w:rFonts w:ascii="Cambria Math" w:hAnsi="Cambria Math"/>
                    <w:i/>
                    <w:szCs w:val="21"/>
                  </w:rPr>
                </m:ctrlPr>
              </m:e>
            </m:nary>
            <m:r>
              <m:rPr/>
              <w:rPr>
                <w:rFonts w:ascii="Cambria Math" w:hAnsi="Cambria Math"/>
                <w:szCs w:val="21"/>
              </w:rPr>
              <m:t>)−</m:t>
            </m:r>
            <m:f>
              <m:fPr>
                <m:ctrlPr>
                  <w:rPr>
                    <w:rFonts w:ascii="Cambria Math" w:hAnsi="Cambria Math"/>
                    <w:i/>
                    <w:szCs w:val="21"/>
                  </w:rPr>
                </m:ctrlPr>
              </m:fPr>
              <m:num>
                <m:r>
                  <m:rPr/>
                  <w:rPr>
                    <w:rFonts w:ascii="Cambria Math" w:hAnsi="Cambria Math"/>
                    <w:szCs w:val="21"/>
                  </w:rPr>
                  <m:t>1</m:t>
                </m:r>
                <m:ctrlPr>
                  <w:rPr>
                    <w:rFonts w:ascii="Cambria Math" w:hAnsi="Cambria Math"/>
                    <w:i/>
                    <w:szCs w:val="21"/>
                  </w:rPr>
                </m:ctrlPr>
              </m:num>
              <m:den>
                <m:r>
                  <m:rPr/>
                  <w:rPr>
                    <w:rFonts w:ascii="Cambria Math" w:hAnsi="Cambria Math"/>
                    <w:szCs w:val="21"/>
                  </w:rPr>
                  <m:t>n</m:t>
                </m:r>
                <m:ctrlPr>
                  <w:rPr>
                    <w:rFonts w:ascii="Cambria Math" w:hAnsi="Cambria Math"/>
                    <w:i/>
                    <w:szCs w:val="21"/>
                  </w:rPr>
                </m:ctrlPr>
              </m:den>
            </m:f>
            <m:sSup>
              <m:sSupPr>
                <m:ctrlPr>
                  <w:rPr>
                    <w:rFonts w:ascii="Cambria Math" w:hAnsi="Cambria Math"/>
                    <w:i/>
                    <w:szCs w:val="21"/>
                  </w:rPr>
                </m:ctrlPr>
              </m:sSupPr>
              <m:e>
                <m:r>
                  <m:rPr/>
                  <w:rPr>
                    <w:rFonts w:ascii="Cambria Math" w:hAnsi="Cambria Math"/>
                    <w:szCs w:val="21"/>
                  </w:rPr>
                  <m:t>(</m:t>
                </m:r>
                <m:nary>
                  <m:naryPr>
                    <m:chr m:val="∑"/>
                    <m:limLoc m:val="undOvr"/>
                    <m:ctrlPr>
                      <w:rPr>
                        <w:rFonts w:ascii="Cambria Math" w:hAnsi="Cambria Math"/>
                        <w:i/>
                        <w:szCs w:val="21"/>
                      </w:rPr>
                    </m:ctrlPr>
                  </m:naryPr>
                  <m:sub>
                    <m:r>
                      <m:rPr/>
                      <w:rPr>
                        <w:rFonts w:ascii="Cambria Math" w:hAnsi="Cambria Math"/>
                        <w:szCs w:val="21"/>
                      </w:rPr>
                      <m:t>i=1</m:t>
                    </m:r>
                    <m:ctrlPr>
                      <w:rPr>
                        <w:rFonts w:ascii="Cambria Math" w:hAnsi="Cambria Math"/>
                        <w:i/>
                        <w:szCs w:val="21"/>
                      </w:rPr>
                    </m:ctrlPr>
                  </m:sub>
                  <m:sup>
                    <m:r>
                      <m:rPr/>
                      <w:rPr>
                        <w:rFonts w:ascii="Cambria Math" w:hAnsi="Cambria Math"/>
                        <w:szCs w:val="21"/>
                      </w:rPr>
                      <m:t>n</m:t>
                    </m:r>
                    <m:ctrlPr>
                      <w:rPr>
                        <w:rFonts w:ascii="Cambria Math" w:hAnsi="Cambria Math"/>
                        <w:i/>
                        <w:szCs w:val="21"/>
                      </w:rPr>
                    </m:ctrlPr>
                  </m:sup>
                  <m:e>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ctrlPr>
                      <w:rPr>
                        <w:rFonts w:ascii="Cambria Math" w:hAnsi="Cambria Math"/>
                        <w:i/>
                        <w:szCs w:val="21"/>
                      </w:rPr>
                    </m:ctrlPr>
                  </m:e>
                </m:nary>
                <m:r>
                  <m:rPr/>
                  <w:rPr>
                    <w:rFonts w:ascii="Cambria Math" w:hAnsi="Cambria Math"/>
                    <w:szCs w:val="21"/>
                  </w:rPr>
                  <m:t>)</m:t>
                </m:r>
                <m:ctrlPr>
                  <w:rPr>
                    <w:rFonts w:ascii="Cambria Math" w:hAnsi="Cambria Math"/>
                    <w:i/>
                    <w:szCs w:val="21"/>
                  </w:rPr>
                </m:ctrlPr>
              </m:e>
              <m:sup>
                <m:r>
                  <m:rPr/>
                  <w:rPr>
                    <w:rFonts w:ascii="Cambria Math" w:hAnsi="Cambria Math"/>
                    <w:szCs w:val="21"/>
                  </w:rPr>
                  <m:t>2</m:t>
                </m:r>
                <m:ctrlPr>
                  <w:rPr>
                    <w:rFonts w:ascii="Cambria Math" w:hAnsi="Cambria Math"/>
                    <w:i/>
                    <w:szCs w:val="21"/>
                  </w:rPr>
                </m:ctrlPr>
              </m:sup>
            </m:sSup>
            <m:ctrlPr>
              <w:rPr>
                <w:rFonts w:ascii="Cambria Math" w:hAnsi="Cambria Math"/>
                <w:i/>
                <w:szCs w:val="21"/>
              </w:rPr>
            </m:ctrlPr>
          </m:den>
        </m:f>
      </m:oMath>
      <w:r>
        <w:rPr>
          <w:rFonts w:hint="eastAsia" w:ascii="宋体" w:hAnsi="宋体" w:cs="宋体"/>
          <w:szCs w:val="21"/>
        </w:rPr>
        <w:t xml:space="preserve">                      </w:t>
      </w:r>
      <w:r>
        <w:rPr>
          <w:rFonts w:hint="eastAsia" w:ascii="宋体" w:hAnsi="宋体" w:cs="宋体"/>
          <w:color w:val="000000"/>
          <w:szCs w:val="21"/>
        </w:rPr>
        <w:t>（B.3.6-1）</w:t>
      </w:r>
    </w:p>
    <w:p w14:paraId="3F028CD4">
      <w:pPr>
        <w:jc w:val="right"/>
        <w:rPr>
          <w:rFonts w:hint="eastAsia" w:hAnsi="Cambria Math"/>
          <w:szCs w:val="21"/>
        </w:rPr>
      </w:pPr>
    </w:p>
    <w:p w14:paraId="0444E1E1">
      <w:pPr>
        <w:jc w:val="right"/>
        <w:rPr>
          <w:rFonts w:hint="eastAsia" w:hAnsi="Cambria Math"/>
          <w:szCs w:val="21"/>
        </w:rPr>
      </w:pPr>
      <m:oMath>
        <m:sSub>
          <m:sSubPr>
            <m:ctrlPr>
              <w:rPr>
                <w:rFonts w:ascii="Cambria Math" w:hAnsi="Cambria Math"/>
                <w:i/>
                <w:szCs w:val="21"/>
              </w:rPr>
            </m:ctrlPr>
          </m:sSubPr>
          <m:e>
            <m:r>
              <m:rPr/>
              <w:rPr>
                <w:rFonts w:ascii="Cambria Math" w:hAnsi="Cambria Math"/>
                <w:szCs w:val="21"/>
              </w:rPr>
              <m:t>y</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r>
          <m:rPr/>
          <w:rPr>
            <w:rFonts w:ascii="Cambria Math" w:hAnsi="Cambria Math"/>
            <w:szCs w:val="21"/>
          </w:rPr>
          <m:t>=</m:t>
        </m:r>
        <m:func>
          <m:funcPr>
            <m:ctrlPr>
              <w:rPr>
                <w:rFonts w:ascii="Cambria Math" w:hAnsi="Cambria Math"/>
                <w:szCs w:val="21"/>
              </w:rPr>
            </m:ctrlPr>
          </m:funcPr>
          <m:fName>
            <m:r>
              <m:rPr>
                <m:sty m:val="p"/>
              </m:rPr>
              <w:rPr>
                <w:rFonts w:ascii="Cambria Math" w:hAnsi="Cambria Math"/>
                <w:szCs w:val="21"/>
              </w:rPr>
              <m:t>ln</m:t>
            </m:r>
            <m:ctrlPr>
              <w:rPr>
                <w:rFonts w:ascii="Cambria Math" w:hAnsi="Cambria Math"/>
                <w:i/>
                <w:szCs w:val="21"/>
              </w:rPr>
            </m:ctrlPr>
          </m:fName>
          <m:e>
            <m:d>
              <m:dPr>
                <m:begChr m:val="["/>
                <m:endChr m:val="]"/>
                <m:ctrlPr>
                  <w:rPr>
                    <w:rFonts w:ascii="Cambria Math" w:hAnsi="Cambria Math"/>
                    <w:i/>
                    <w:szCs w:val="21"/>
                  </w:rPr>
                </m:ctrlPr>
              </m:dPr>
              <m:e>
                <m:r>
                  <m:rPr/>
                  <w:rPr>
                    <w:rFonts w:ascii="Cambria Math" w:hAnsi="Cambria Math"/>
                    <w:szCs w:val="21"/>
                  </w:rPr>
                  <m:t>C(</m:t>
                </m:r>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C</m:t>
                    </m:r>
                    <m:ctrlPr>
                      <w:rPr>
                        <w:rFonts w:ascii="Cambria Math" w:hAnsi="Cambria Math"/>
                        <w:i/>
                        <w:szCs w:val="21"/>
                      </w:rPr>
                    </m:ctrlPr>
                  </m:e>
                  <m:sub>
                    <m:r>
                      <m:rPr/>
                      <w:rPr>
                        <w:rFonts w:ascii="Cambria Math" w:hAnsi="Cambria Math"/>
                        <w:szCs w:val="21"/>
                      </w:rPr>
                      <m:t>out</m:t>
                    </m:r>
                    <m:ctrlPr>
                      <w:rPr>
                        <w:rFonts w:ascii="Cambria Math" w:hAnsi="Cambria Math"/>
                        <w:i/>
                        <w:szCs w:val="21"/>
                      </w:rPr>
                    </m:ctrlPr>
                  </m:sub>
                </m:sSub>
                <m:ctrlPr>
                  <w:rPr>
                    <w:rFonts w:ascii="Cambria Math" w:hAnsi="Cambria Math"/>
                    <w:i/>
                    <w:szCs w:val="21"/>
                  </w:rPr>
                </m:ctrlPr>
              </m:e>
            </m:d>
            <m:ctrlPr>
              <w:rPr>
                <w:rFonts w:ascii="Cambria Math" w:hAnsi="Cambria Math"/>
                <w:i/>
                <w:szCs w:val="21"/>
              </w:rPr>
            </m:ctrlPr>
          </m:e>
        </m:func>
      </m:oMath>
      <w:r>
        <w:rPr>
          <w:rFonts w:hint="eastAsia" w:ascii="宋体" w:hAnsi="宋体" w:cs="宋体"/>
          <w:szCs w:val="21"/>
        </w:rPr>
        <w:t xml:space="preserve">                        </w:t>
      </w:r>
      <w:r>
        <w:rPr>
          <w:rFonts w:hint="eastAsia" w:ascii="宋体" w:hAnsi="宋体" w:cs="宋体"/>
          <w:color w:val="000000"/>
          <w:szCs w:val="21"/>
        </w:rPr>
        <w:t>（B.3.6-2）</w:t>
      </w:r>
    </w:p>
    <w:p w14:paraId="673149B7">
      <w:pPr>
        <w:overflowPunct w:val="0"/>
        <w:snapToGrid w:val="0"/>
        <w:spacing w:line="309" w:lineRule="exact"/>
        <w:rPr>
          <w:rFonts w:ascii="宋体" w:hAnsi="宋体" w:cs="宋体"/>
          <w:bCs/>
          <w:color w:val="000000"/>
          <w:szCs w:val="21"/>
        </w:rPr>
      </w:pPr>
      <w:r>
        <w:rPr>
          <w:rFonts w:hint="eastAsia" w:ascii="宋体" w:hAnsi="宋体" w:cs="宋体"/>
          <w:bCs/>
          <w:color w:val="000000"/>
          <w:szCs w:val="21"/>
        </w:rPr>
        <w:t>式中：</w:t>
      </w:r>
    </w:p>
    <w:p w14:paraId="68727485">
      <w:pPr>
        <w:overflowPunct w:val="0"/>
        <w:snapToGrid w:val="0"/>
        <w:spacing w:line="309" w:lineRule="exact"/>
        <w:ind w:firstLine="420" w:firstLineChars="200"/>
        <w:rPr>
          <w:rFonts w:ascii="宋体" w:hAnsi="宋体" w:cs="宋体"/>
          <w:bCs/>
          <w:color w:val="000000"/>
          <w:szCs w:val="21"/>
        </w:rPr>
      </w:pPr>
      <w:r>
        <w:rPr>
          <w:rFonts w:hint="eastAsia" w:ascii="宋体" w:hAnsi="宋体" w:cs="宋体"/>
          <w:bCs/>
          <w:color w:val="000000"/>
          <w:szCs w:val="21"/>
        </w:rPr>
        <w:t>Nn——自然压差下换气次数(h</w:t>
      </w:r>
      <w:r>
        <w:rPr>
          <w:rFonts w:hint="eastAsia" w:ascii="宋体" w:hAnsi="宋体" w:cs="宋体"/>
          <w:bCs/>
          <w:color w:val="000000"/>
          <w:szCs w:val="21"/>
          <w:vertAlign w:val="superscript"/>
        </w:rPr>
        <w:t>-1</w:t>
      </w:r>
      <w:r>
        <w:rPr>
          <w:rFonts w:hint="eastAsia" w:ascii="宋体" w:hAnsi="宋体" w:cs="宋体"/>
          <w:bCs/>
          <w:color w:val="000000"/>
          <w:szCs w:val="21"/>
        </w:rPr>
        <w:t>)；</w:t>
      </w:r>
    </w:p>
    <w:p w14:paraId="09C5946A">
      <w:pPr>
        <w:overflowPunct w:val="0"/>
        <w:snapToGrid w:val="0"/>
        <w:spacing w:line="309" w:lineRule="exact"/>
        <w:ind w:firstLine="420" w:firstLineChars="200"/>
        <w:rPr>
          <w:rFonts w:ascii="宋体" w:hAnsi="宋体" w:cs="宋体"/>
          <w:bCs/>
          <w:color w:val="000000"/>
          <w:szCs w:val="21"/>
        </w:rPr>
      </w:pPr>
      <w:r>
        <w:rPr>
          <w:rFonts w:hint="eastAsia" w:ascii="宋体" w:hAnsi="宋体" w:cs="宋体"/>
          <w:bCs/>
          <w:color w:val="000000"/>
          <w:szCs w:val="21"/>
        </w:rPr>
        <w:t>t</w:t>
      </w:r>
      <w:r>
        <w:rPr>
          <w:rFonts w:hint="eastAsia" w:ascii="宋体" w:hAnsi="宋体" w:cs="宋体"/>
          <w:bCs/>
          <w:color w:val="000000"/>
          <w:szCs w:val="21"/>
          <w:vertAlign w:val="subscript"/>
        </w:rPr>
        <w:t>i</w:t>
      </w:r>
      <w:r>
        <w:rPr>
          <w:rFonts w:hint="eastAsia" w:ascii="宋体" w:hAnsi="宋体" w:cs="宋体"/>
          <w:bCs/>
          <w:color w:val="000000"/>
          <w:szCs w:val="21"/>
        </w:rPr>
        <w:t>——第i个记录点距开始测量时刻的时长(h)；</w:t>
      </w:r>
    </w:p>
    <w:p w14:paraId="545F0EBF">
      <w:pPr>
        <w:overflowPunct w:val="0"/>
        <w:snapToGrid w:val="0"/>
        <w:spacing w:line="309" w:lineRule="exact"/>
        <w:ind w:firstLine="420" w:firstLineChars="200"/>
        <w:rPr>
          <w:rFonts w:ascii="宋体" w:hAnsi="宋体" w:cs="宋体"/>
          <w:bCs/>
          <w:color w:val="000000"/>
          <w:szCs w:val="21"/>
        </w:rPr>
      </w:pPr>
      <w:r>
        <w:rPr>
          <w:rFonts w:hint="eastAsia" w:ascii="宋体" w:hAnsi="宋体" w:cs="宋体"/>
          <w:bCs/>
          <w:color w:val="000000"/>
          <w:szCs w:val="21"/>
        </w:rPr>
        <w:t>C</w:t>
      </w:r>
      <w:r>
        <w:rPr>
          <w:rFonts w:hint="eastAsia" w:ascii="宋体" w:hAnsi="宋体" w:cs="宋体"/>
          <w:bCs/>
          <w:color w:val="000000"/>
          <w:szCs w:val="21"/>
          <w:vertAlign w:val="subscript"/>
        </w:rPr>
        <w:t>(ti)</w:t>
      </w:r>
      <w:r>
        <w:rPr>
          <w:rFonts w:hint="eastAsia" w:ascii="宋体" w:hAnsi="宋体" w:cs="宋体"/>
          <w:bCs/>
          <w:color w:val="000000"/>
          <w:szCs w:val="21"/>
        </w:rPr>
        <w:t>——开始测量后，第i个记录点对应的测试空间内示踪气体浓度(ppm)；</w:t>
      </w:r>
    </w:p>
    <w:p w14:paraId="37D7E30B">
      <w:pPr>
        <w:overflowPunct w:val="0"/>
        <w:snapToGrid w:val="0"/>
        <w:spacing w:line="309" w:lineRule="exact"/>
        <w:ind w:firstLine="420" w:firstLineChars="200"/>
        <w:rPr>
          <w:rFonts w:ascii="宋体" w:hAnsi="宋体" w:cs="宋体"/>
          <w:bCs/>
          <w:color w:val="000000"/>
          <w:szCs w:val="21"/>
        </w:rPr>
      </w:pPr>
      <w:r>
        <w:rPr>
          <w:rFonts w:hint="eastAsia" w:ascii="宋体" w:hAnsi="宋体" w:cs="宋体"/>
          <w:bCs/>
          <w:color w:val="000000"/>
          <w:szCs w:val="21"/>
        </w:rPr>
        <w:t>C</w:t>
      </w:r>
      <w:r>
        <w:rPr>
          <w:rFonts w:hint="eastAsia" w:ascii="宋体" w:hAnsi="宋体" w:cs="宋体"/>
          <w:bCs/>
          <w:color w:val="000000"/>
          <w:szCs w:val="21"/>
          <w:vertAlign w:val="subscript"/>
        </w:rPr>
        <w:t>out</w:t>
      </w:r>
      <w:r>
        <w:rPr>
          <w:rFonts w:hint="eastAsia" w:ascii="宋体" w:hAnsi="宋体" w:cs="宋体"/>
          <w:bCs/>
          <w:color w:val="000000"/>
          <w:szCs w:val="21"/>
        </w:rPr>
        <w:t>——室外示踪气体浓度(ppm)；</w:t>
      </w:r>
    </w:p>
    <w:p w14:paraId="342A2369">
      <w:pPr>
        <w:ind w:firstLine="420" w:firstLineChars="200"/>
        <w:rPr>
          <w:rFonts w:asciiTheme="minorEastAsia" w:hAnsiTheme="minorEastAsia" w:eastAsiaTheme="minorEastAsia"/>
          <w:b/>
          <w:szCs w:val="21"/>
        </w:rPr>
      </w:pPr>
      <w:r>
        <w:rPr>
          <w:rFonts w:hint="eastAsia" w:ascii="宋体" w:hAnsi="宋体" w:cs="宋体"/>
          <w:bCs/>
          <w:color w:val="000000"/>
          <w:szCs w:val="21"/>
        </w:rPr>
        <w:t>n——室内示踪气体均匀混合后的记录点数，无量纲。</w:t>
      </w:r>
    </w:p>
    <w:p w14:paraId="1A792514">
      <w:pPr>
        <w:widowControl/>
        <w:jc w:val="left"/>
        <w:rPr>
          <w:rFonts w:ascii="黑体" w:eastAsia="黑体"/>
          <w:kern w:val="0"/>
          <w:szCs w:val="20"/>
        </w:rPr>
      </w:pPr>
      <w:bookmarkStart w:id="65" w:name="_Toc2950941"/>
      <w:r>
        <w:br w:type="page"/>
      </w:r>
    </w:p>
    <w:p w14:paraId="613E003E">
      <w:pPr>
        <w:pStyle w:val="274"/>
        <w:numPr>
          <w:ilvl w:val="0"/>
          <w:numId w:val="49"/>
        </w:numPr>
        <w:spacing w:after="284"/>
      </w:pPr>
      <w:bookmarkStart w:id="66" w:name="_Toc1828"/>
      <w:r>
        <w:br w:type="textWrapping"/>
      </w:r>
      <w:r>
        <w:rPr>
          <w:rFonts w:hint="eastAsia"/>
        </w:rPr>
        <w:t>（规范性）</w:t>
      </w:r>
      <w:r>
        <w:br w:type="textWrapping"/>
      </w:r>
      <w:bookmarkEnd w:id="65"/>
      <w:r>
        <w:rPr>
          <w:rFonts w:hint="eastAsia"/>
        </w:rPr>
        <w:t>部品材料技术要求</w:t>
      </w:r>
      <w:bookmarkEnd w:id="66"/>
    </w:p>
    <w:p w14:paraId="689D07A9">
      <w:pPr>
        <w:pStyle w:val="276"/>
        <w:numPr>
          <w:ilvl w:val="1"/>
          <w:numId w:val="59"/>
        </w:numPr>
        <w:tabs>
          <w:tab w:val="left" w:pos="360"/>
        </w:tabs>
        <w:spacing w:before="156" w:after="156"/>
      </w:pPr>
      <w:bookmarkStart w:id="67" w:name="_Toc2950942"/>
      <w:bookmarkStart w:id="68" w:name="_Toc30241"/>
      <w:r>
        <w:t>保温材料</w:t>
      </w:r>
      <w:bookmarkEnd w:id="67"/>
      <w:bookmarkEnd w:id="68"/>
    </w:p>
    <w:p w14:paraId="5E0934AA">
      <w:pPr>
        <w:pStyle w:val="277"/>
        <w:numPr>
          <w:ilvl w:val="2"/>
          <w:numId w:val="60"/>
        </w:numPr>
        <w:spacing w:before="0" w:beforeLines="0" w:after="0" w:afterLines="0"/>
        <w:rPr>
          <w:rFonts w:hAnsi="黑体" w:eastAsia="宋体"/>
        </w:rPr>
      </w:pPr>
      <w:r>
        <w:rPr>
          <w:rFonts w:hint="eastAsia" w:hAnsi="黑体" w:eastAsia="宋体"/>
        </w:rPr>
        <w:t>外窗洞口采用防水透汽膜与防水隔汽膜时，其性能指标应符合表C.</w:t>
      </w:r>
      <w:r>
        <w:rPr>
          <w:rFonts w:hint="eastAsia" w:hAnsi="黑体" w:eastAsia="宋体"/>
          <w:lang w:val="en-US" w:eastAsia="zh-CN"/>
        </w:rPr>
        <w:t>1.1</w:t>
      </w:r>
      <w:r>
        <w:rPr>
          <w:rFonts w:hint="eastAsia" w:hAnsi="黑体" w:eastAsia="宋体"/>
        </w:rPr>
        <w:t>的规定。</w:t>
      </w:r>
    </w:p>
    <w:p w14:paraId="5CCEED8C">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ascii="黑体" w:hAnsi="黑体" w:eastAsia="黑体" w:cs="黑体"/>
          <w:sz w:val="18"/>
          <w:szCs w:val="18"/>
        </w:rPr>
        <w:t>表C.</w:t>
      </w:r>
      <w:r>
        <w:rPr>
          <w:rFonts w:hint="eastAsia" w:ascii="黑体" w:hAnsi="黑体" w:eastAsia="黑体" w:cs="黑体"/>
          <w:sz w:val="18"/>
          <w:szCs w:val="18"/>
          <w:lang w:val="en-US" w:eastAsia="zh-CN"/>
        </w:rPr>
        <w:t>1.1</w:t>
      </w:r>
      <w:r>
        <w:rPr>
          <w:rFonts w:hint="eastAsia" w:ascii="黑体" w:hAnsi="黑体" w:eastAsia="黑体" w:cs="黑体"/>
          <w:sz w:val="18"/>
          <w:szCs w:val="18"/>
        </w:rPr>
        <w:t>-1</w:t>
      </w:r>
      <w:r>
        <w:rPr>
          <w:rFonts w:ascii="黑体" w:hAnsi="黑体" w:eastAsia="黑体" w:cs="黑体"/>
          <w:sz w:val="18"/>
          <w:szCs w:val="18"/>
        </w:rPr>
        <w:t>　门窗洞口用防水</w:t>
      </w:r>
      <w:r>
        <w:rPr>
          <w:rFonts w:hint="eastAsia" w:ascii="Times New Roman" w:hAnsi="Times New Roman" w:eastAsia="黑体" w:cs="黑体"/>
          <w:sz w:val="18"/>
          <w:szCs w:val="18"/>
        </w:rPr>
        <w:t>透汽</w:t>
      </w:r>
      <w:r>
        <w:rPr>
          <w:rFonts w:ascii="黑体" w:hAnsi="黑体" w:eastAsia="黑体" w:cs="黑体"/>
          <w:sz w:val="18"/>
          <w:szCs w:val="18"/>
        </w:rPr>
        <w:t>膜</w:t>
      </w:r>
      <w:r>
        <w:rPr>
          <w:rFonts w:hint="eastAsia" w:ascii="黑体" w:hAnsi="黑体" w:eastAsia="黑体" w:cs="黑体"/>
          <w:sz w:val="18"/>
          <w:szCs w:val="18"/>
        </w:rPr>
        <w:t>（抹胶型）</w:t>
      </w:r>
      <w:r>
        <w:rPr>
          <w:rFonts w:ascii="黑体" w:hAnsi="黑体" w:eastAsia="黑体" w:cs="黑体"/>
          <w:sz w:val="18"/>
          <w:szCs w:val="18"/>
        </w:rPr>
        <w:t>与防水隔气膜</w:t>
      </w:r>
      <w:r>
        <w:rPr>
          <w:rFonts w:hint="eastAsia" w:ascii="黑体" w:hAnsi="黑体" w:eastAsia="黑体" w:cs="黑体"/>
          <w:sz w:val="18"/>
          <w:szCs w:val="18"/>
        </w:rPr>
        <w:t>（抹胶型）</w:t>
      </w:r>
      <w:r>
        <w:rPr>
          <w:rFonts w:ascii="黑体" w:hAnsi="黑体" w:eastAsia="黑体" w:cs="黑体"/>
          <w:sz w:val="18"/>
          <w:szCs w:val="18"/>
        </w:rPr>
        <w:t>的性能指标</w:t>
      </w:r>
    </w:p>
    <w:tbl>
      <w:tblPr>
        <w:tblStyle w:val="89"/>
        <w:tblW w:w="98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971"/>
        <w:gridCol w:w="1971"/>
        <w:gridCol w:w="1971"/>
        <w:gridCol w:w="1971"/>
      </w:tblGrid>
      <w:tr w14:paraId="5F3CAF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vMerge w:val="restart"/>
            <w:tcBorders>
              <w:tl2br w:val="nil"/>
              <w:tr2bl w:val="nil"/>
            </w:tcBorders>
            <w:vAlign w:val="center"/>
          </w:tcPr>
          <w:p w14:paraId="6763B18A">
            <w:pPr>
              <w:overflowPunct w:val="0"/>
              <w:jc w:val="center"/>
              <w:rPr>
                <w:rFonts w:ascii="Times New Roman" w:hAnsi="Times New Roman" w:cs="Times New Roman"/>
                <w:sz w:val="18"/>
                <w:szCs w:val="18"/>
              </w:rPr>
            </w:pPr>
            <w:r>
              <w:rPr>
                <w:rFonts w:ascii="Times New Roman" w:hAnsi="Times New Roman" w:cs="Times New Roman"/>
                <w:sz w:val="18"/>
                <w:szCs w:val="18"/>
              </w:rPr>
              <w:t>项目</w:t>
            </w:r>
          </w:p>
        </w:tc>
        <w:tc>
          <w:tcPr>
            <w:tcW w:w="3942" w:type="dxa"/>
            <w:gridSpan w:val="2"/>
            <w:tcBorders>
              <w:tl2br w:val="nil"/>
              <w:tr2bl w:val="nil"/>
            </w:tcBorders>
            <w:vAlign w:val="center"/>
          </w:tcPr>
          <w:p w14:paraId="262AC0C4">
            <w:pPr>
              <w:overflowPunct w:val="0"/>
              <w:jc w:val="center"/>
              <w:rPr>
                <w:rFonts w:ascii="Times New Roman" w:hAnsi="Times New Roman" w:cs="Times New Roman"/>
                <w:sz w:val="18"/>
                <w:szCs w:val="18"/>
              </w:rPr>
            </w:pPr>
            <w:r>
              <w:rPr>
                <w:rFonts w:ascii="Times New Roman" w:hAnsi="Times New Roman" w:cs="Times New Roman"/>
                <w:sz w:val="18"/>
                <w:szCs w:val="18"/>
              </w:rPr>
              <w:t>性能指标</w:t>
            </w:r>
          </w:p>
        </w:tc>
        <w:tc>
          <w:tcPr>
            <w:tcW w:w="1971" w:type="dxa"/>
            <w:vMerge w:val="restart"/>
            <w:tcBorders>
              <w:tl2br w:val="nil"/>
              <w:tr2bl w:val="nil"/>
            </w:tcBorders>
            <w:vAlign w:val="center"/>
          </w:tcPr>
          <w:p w14:paraId="19430079">
            <w:pPr>
              <w:overflowPunct w:val="0"/>
              <w:jc w:val="center"/>
              <w:rPr>
                <w:rFonts w:ascii="Times New Roman" w:hAnsi="Times New Roman" w:cs="Times New Roman"/>
                <w:sz w:val="18"/>
                <w:szCs w:val="18"/>
              </w:rPr>
            </w:pPr>
            <w:r>
              <w:rPr>
                <w:rFonts w:ascii="Times New Roman" w:hAnsi="Times New Roman" w:cs="Times New Roman"/>
                <w:sz w:val="18"/>
                <w:szCs w:val="18"/>
              </w:rPr>
              <w:t>试验方法</w:t>
            </w:r>
          </w:p>
        </w:tc>
      </w:tr>
      <w:tr w14:paraId="0946F3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vMerge w:val="continue"/>
            <w:tcBorders>
              <w:tl2br w:val="nil"/>
              <w:tr2bl w:val="nil"/>
            </w:tcBorders>
            <w:vAlign w:val="center"/>
          </w:tcPr>
          <w:p w14:paraId="06B8DE1F">
            <w:pPr>
              <w:overflowPunct w:val="0"/>
              <w:jc w:val="center"/>
              <w:rPr>
                <w:rFonts w:ascii="Times New Roman" w:hAnsi="Times New Roman" w:cs="Times New Roman"/>
                <w:sz w:val="18"/>
                <w:szCs w:val="18"/>
              </w:rPr>
            </w:pPr>
          </w:p>
        </w:tc>
        <w:tc>
          <w:tcPr>
            <w:tcW w:w="1971" w:type="dxa"/>
            <w:tcBorders>
              <w:tl2br w:val="nil"/>
              <w:tr2bl w:val="nil"/>
            </w:tcBorders>
            <w:vAlign w:val="center"/>
          </w:tcPr>
          <w:p w14:paraId="4C8DE37F">
            <w:pPr>
              <w:overflowPunct w:val="0"/>
              <w:jc w:val="center"/>
              <w:rPr>
                <w:rFonts w:ascii="Times New Roman" w:hAnsi="Times New Roman" w:cs="Times New Roman"/>
                <w:sz w:val="18"/>
                <w:szCs w:val="18"/>
              </w:rPr>
            </w:pPr>
            <w:r>
              <w:rPr>
                <w:rFonts w:ascii="Times New Roman" w:hAnsi="Times New Roman" w:cs="Times New Roman"/>
                <w:sz w:val="18"/>
                <w:szCs w:val="18"/>
              </w:rPr>
              <w:t>防水隔汽膜</w:t>
            </w:r>
          </w:p>
        </w:tc>
        <w:tc>
          <w:tcPr>
            <w:tcW w:w="1971" w:type="dxa"/>
            <w:tcBorders>
              <w:tl2br w:val="nil"/>
              <w:tr2bl w:val="nil"/>
            </w:tcBorders>
            <w:vAlign w:val="center"/>
          </w:tcPr>
          <w:p w14:paraId="0F54CE18">
            <w:pPr>
              <w:overflowPunct w:val="0"/>
              <w:jc w:val="center"/>
              <w:rPr>
                <w:rFonts w:ascii="Times New Roman" w:hAnsi="Times New Roman" w:cs="Times New Roman"/>
                <w:sz w:val="18"/>
                <w:szCs w:val="18"/>
              </w:rPr>
            </w:pPr>
            <w:r>
              <w:rPr>
                <w:rFonts w:ascii="Times New Roman" w:hAnsi="Times New Roman" w:cs="Times New Roman"/>
                <w:sz w:val="18"/>
                <w:szCs w:val="18"/>
              </w:rPr>
              <w:t>防水</w:t>
            </w:r>
            <w:r>
              <w:rPr>
                <w:rFonts w:hint="eastAsia" w:ascii="Times New Roman" w:hAnsi="Times New Roman" w:cs="Times New Roman"/>
                <w:sz w:val="18"/>
                <w:szCs w:val="18"/>
              </w:rPr>
              <w:t>透汽</w:t>
            </w:r>
            <w:r>
              <w:rPr>
                <w:rFonts w:ascii="Times New Roman" w:hAnsi="Times New Roman" w:cs="Times New Roman"/>
                <w:sz w:val="18"/>
                <w:szCs w:val="18"/>
              </w:rPr>
              <w:t>膜</w:t>
            </w:r>
          </w:p>
        </w:tc>
        <w:tc>
          <w:tcPr>
            <w:tcW w:w="1971" w:type="dxa"/>
            <w:vMerge w:val="continue"/>
            <w:tcBorders>
              <w:tl2br w:val="nil"/>
              <w:tr2bl w:val="nil"/>
            </w:tcBorders>
            <w:vAlign w:val="center"/>
          </w:tcPr>
          <w:p w14:paraId="664FAE84">
            <w:pPr>
              <w:overflowPunct w:val="0"/>
              <w:jc w:val="center"/>
              <w:rPr>
                <w:rFonts w:ascii="Times New Roman" w:hAnsi="Times New Roman" w:cs="Times New Roman"/>
                <w:sz w:val="18"/>
                <w:szCs w:val="18"/>
              </w:rPr>
            </w:pPr>
          </w:p>
        </w:tc>
      </w:tr>
      <w:tr w14:paraId="42735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Merge w:val="restart"/>
            <w:tcBorders>
              <w:tl2br w:val="nil"/>
              <w:tr2bl w:val="nil"/>
            </w:tcBorders>
            <w:vAlign w:val="center"/>
          </w:tcPr>
          <w:p w14:paraId="5220F247">
            <w:pPr>
              <w:overflowPunct w:val="0"/>
              <w:jc w:val="center"/>
              <w:rPr>
                <w:rFonts w:ascii="Times New Roman" w:hAnsi="Times New Roman" w:cs="Times New Roman"/>
                <w:sz w:val="18"/>
                <w:szCs w:val="18"/>
              </w:rPr>
            </w:pPr>
            <w:r>
              <w:rPr>
                <w:rFonts w:ascii="Times New Roman" w:hAnsi="Times New Roman" w:cs="Times New Roman"/>
                <w:sz w:val="18"/>
                <w:szCs w:val="18"/>
              </w:rPr>
              <w:t>最大抗拉强度，N/50mm</w:t>
            </w:r>
          </w:p>
        </w:tc>
        <w:tc>
          <w:tcPr>
            <w:tcW w:w="1971" w:type="dxa"/>
            <w:tcBorders>
              <w:tl2br w:val="nil"/>
              <w:tr2bl w:val="nil"/>
            </w:tcBorders>
            <w:vAlign w:val="center"/>
          </w:tcPr>
          <w:p w14:paraId="31B0381E">
            <w:pPr>
              <w:overflowPunct w:val="0"/>
              <w:jc w:val="center"/>
              <w:rPr>
                <w:rFonts w:ascii="Times New Roman" w:hAnsi="Times New Roman" w:cs="Times New Roman"/>
                <w:sz w:val="18"/>
                <w:szCs w:val="18"/>
              </w:rPr>
            </w:pPr>
            <w:r>
              <w:rPr>
                <w:rFonts w:ascii="Times New Roman" w:hAnsi="Times New Roman" w:cs="Times New Roman"/>
                <w:sz w:val="18"/>
                <w:szCs w:val="18"/>
              </w:rPr>
              <w:t>纵向</w:t>
            </w:r>
          </w:p>
        </w:tc>
        <w:tc>
          <w:tcPr>
            <w:tcW w:w="1971" w:type="dxa"/>
            <w:tcBorders>
              <w:tl2br w:val="nil"/>
              <w:tr2bl w:val="nil"/>
            </w:tcBorders>
            <w:vAlign w:val="center"/>
          </w:tcPr>
          <w:p w14:paraId="029F6E27">
            <w:pPr>
              <w:overflowPunct w:val="0"/>
              <w:jc w:val="center"/>
              <w:rPr>
                <w:rFonts w:ascii="Times New Roman" w:hAnsi="Times New Roman" w:cs="Times New Roman"/>
                <w:sz w:val="18"/>
                <w:szCs w:val="18"/>
              </w:rPr>
            </w:pPr>
            <w:r>
              <w:rPr>
                <w:rFonts w:ascii="Times New Roman" w:hAnsi="Times New Roman" w:cs="Times New Roman"/>
                <w:sz w:val="18"/>
                <w:szCs w:val="18"/>
              </w:rPr>
              <w:t>≥420</w:t>
            </w:r>
          </w:p>
        </w:tc>
        <w:tc>
          <w:tcPr>
            <w:tcW w:w="1971" w:type="dxa"/>
            <w:tcBorders>
              <w:tl2br w:val="nil"/>
              <w:tr2bl w:val="nil"/>
            </w:tcBorders>
            <w:vAlign w:val="center"/>
          </w:tcPr>
          <w:p w14:paraId="2AE0123E">
            <w:pPr>
              <w:overflowPunct w:val="0"/>
              <w:jc w:val="center"/>
              <w:rPr>
                <w:rFonts w:ascii="Times New Roman" w:hAnsi="Times New Roman" w:cs="Times New Roman"/>
                <w:sz w:val="18"/>
                <w:szCs w:val="18"/>
              </w:rPr>
            </w:pPr>
            <w:r>
              <w:rPr>
                <w:rFonts w:ascii="Times New Roman" w:hAnsi="Times New Roman" w:cs="Times New Roman"/>
                <w:sz w:val="18"/>
                <w:szCs w:val="18"/>
              </w:rPr>
              <w:t>≥420</w:t>
            </w:r>
          </w:p>
        </w:tc>
        <w:tc>
          <w:tcPr>
            <w:tcW w:w="1971" w:type="dxa"/>
            <w:vMerge w:val="restart"/>
            <w:tcBorders>
              <w:tl2br w:val="nil"/>
              <w:tr2bl w:val="nil"/>
            </w:tcBorders>
            <w:vAlign w:val="center"/>
          </w:tcPr>
          <w:p w14:paraId="5CFC809A">
            <w:pPr>
              <w:overflowPunct w:val="0"/>
              <w:jc w:val="center"/>
              <w:rPr>
                <w:rFonts w:ascii="Times New Roman" w:hAnsi="Times New Roman" w:cs="Times New Roman"/>
                <w:sz w:val="18"/>
                <w:szCs w:val="18"/>
              </w:rPr>
            </w:pPr>
            <w:r>
              <w:rPr>
                <w:rFonts w:ascii="Times New Roman" w:hAnsi="Times New Roman" w:cs="Times New Roman"/>
                <w:sz w:val="18"/>
                <w:szCs w:val="18"/>
              </w:rPr>
              <w:t>GB/T 7689.5-2013</w:t>
            </w:r>
          </w:p>
        </w:tc>
      </w:tr>
      <w:tr w14:paraId="243F2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Merge w:val="continue"/>
            <w:tcBorders>
              <w:tl2br w:val="nil"/>
              <w:tr2bl w:val="nil"/>
            </w:tcBorders>
            <w:vAlign w:val="center"/>
          </w:tcPr>
          <w:p w14:paraId="6AF9C32A">
            <w:pPr>
              <w:overflowPunct w:val="0"/>
              <w:jc w:val="center"/>
              <w:rPr>
                <w:rFonts w:ascii="Times New Roman" w:hAnsi="Times New Roman" w:cs="Times New Roman"/>
                <w:sz w:val="18"/>
                <w:szCs w:val="18"/>
              </w:rPr>
            </w:pPr>
          </w:p>
        </w:tc>
        <w:tc>
          <w:tcPr>
            <w:tcW w:w="1971" w:type="dxa"/>
            <w:tcBorders>
              <w:tl2br w:val="nil"/>
              <w:tr2bl w:val="nil"/>
            </w:tcBorders>
            <w:vAlign w:val="center"/>
          </w:tcPr>
          <w:p w14:paraId="3B983286">
            <w:pPr>
              <w:overflowPunct w:val="0"/>
              <w:jc w:val="center"/>
              <w:rPr>
                <w:rFonts w:ascii="Times New Roman" w:hAnsi="Times New Roman" w:cs="Times New Roman"/>
                <w:sz w:val="18"/>
                <w:szCs w:val="18"/>
              </w:rPr>
            </w:pPr>
            <w:r>
              <w:rPr>
                <w:rFonts w:ascii="Times New Roman" w:hAnsi="Times New Roman" w:cs="Times New Roman"/>
                <w:sz w:val="18"/>
                <w:szCs w:val="18"/>
              </w:rPr>
              <w:t>横向</w:t>
            </w:r>
          </w:p>
        </w:tc>
        <w:tc>
          <w:tcPr>
            <w:tcW w:w="1971" w:type="dxa"/>
            <w:tcBorders>
              <w:tl2br w:val="nil"/>
              <w:tr2bl w:val="nil"/>
            </w:tcBorders>
            <w:vAlign w:val="center"/>
          </w:tcPr>
          <w:p w14:paraId="3B2548C9">
            <w:pPr>
              <w:overflowPunct w:val="0"/>
              <w:jc w:val="center"/>
              <w:rPr>
                <w:rFonts w:ascii="Times New Roman" w:hAnsi="Times New Roman" w:cs="Times New Roman"/>
                <w:sz w:val="18"/>
                <w:szCs w:val="18"/>
              </w:rPr>
            </w:pPr>
            <w:r>
              <w:rPr>
                <w:rFonts w:ascii="Times New Roman" w:hAnsi="Times New Roman" w:cs="Times New Roman"/>
                <w:sz w:val="18"/>
                <w:szCs w:val="18"/>
              </w:rPr>
              <w:t>≥80</w:t>
            </w:r>
          </w:p>
        </w:tc>
        <w:tc>
          <w:tcPr>
            <w:tcW w:w="1971" w:type="dxa"/>
            <w:tcBorders>
              <w:tl2br w:val="nil"/>
              <w:tr2bl w:val="nil"/>
            </w:tcBorders>
            <w:vAlign w:val="center"/>
          </w:tcPr>
          <w:p w14:paraId="7AF2BC7E">
            <w:pPr>
              <w:overflowPunct w:val="0"/>
              <w:jc w:val="center"/>
              <w:rPr>
                <w:rFonts w:ascii="Times New Roman" w:hAnsi="Times New Roman" w:cs="Times New Roman"/>
                <w:sz w:val="18"/>
                <w:szCs w:val="18"/>
              </w:rPr>
            </w:pPr>
            <w:r>
              <w:rPr>
                <w:rFonts w:ascii="Times New Roman" w:hAnsi="Times New Roman" w:cs="Times New Roman"/>
                <w:sz w:val="18"/>
                <w:szCs w:val="18"/>
              </w:rPr>
              <w:t>≥130</w:t>
            </w:r>
          </w:p>
        </w:tc>
        <w:tc>
          <w:tcPr>
            <w:tcW w:w="1971" w:type="dxa"/>
            <w:vMerge w:val="continue"/>
            <w:tcBorders>
              <w:tl2br w:val="nil"/>
              <w:tr2bl w:val="nil"/>
            </w:tcBorders>
            <w:vAlign w:val="center"/>
          </w:tcPr>
          <w:p w14:paraId="752DE527">
            <w:pPr>
              <w:overflowPunct w:val="0"/>
              <w:jc w:val="center"/>
              <w:rPr>
                <w:rFonts w:ascii="Times New Roman" w:hAnsi="Times New Roman" w:cs="Times New Roman"/>
                <w:sz w:val="18"/>
                <w:szCs w:val="18"/>
              </w:rPr>
            </w:pPr>
          </w:p>
        </w:tc>
      </w:tr>
      <w:tr w14:paraId="26AF0A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Merge w:val="restart"/>
            <w:tcBorders>
              <w:tl2br w:val="nil"/>
              <w:tr2bl w:val="nil"/>
            </w:tcBorders>
            <w:vAlign w:val="center"/>
          </w:tcPr>
          <w:p w14:paraId="61345E1C">
            <w:pPr>
              <w:overflowPunct w:val="0"/>
              <w:jc w:val="center"/>
              <w:rPr>
                <w:rFonts w:ascii="Times New Roman" w:hAnsi="Times New Roman" w:cs="Times New Roman"/>
                <w:sz w:val="18"/>
                <w:szCs w:val="18"/>
              </w:rPr>
            </w:pPr>
            <w:r>
              <w:rPr>
                <w:rFonts w:ascii="Times New Roman" w:hAnsi="Times New Roman" w:cs="Times New Roman"/>
                <w:sz w:val="18"/>
                <w:szCs w:val="18"/>
              </w:rPr>
              <w:t>断裂伸长率，%</w:t>
            </w:r>
          </w:p>
        </w:tc>
        <w:tc>
          <w:tcPr>
            <w:tcW w:w="1971" w:type="dxa"/>
            <w:tcBorders>
              <w:tl2br w:val="nil"/>
              <w:tr2bl w:val="nil"/>
            </w:tcBorders>
            <w:vAlign w:val="center"/>
          </w:tcPr>
          <w:p w14:paraId="6CE4A77C">
            <w:pPr>
              <w:overflowPunct w:val="0"/>
              <w:jc w:val="center"/>
              <w:rPr>
                <w:rFonts w:ascii="Times New Roman" w:hAnsi="Times New Roman" w:cs="Times New Roman"/>
                <w:sz w:val="18"/>
                <w:szCs w:val="18"/>
              </w:rPr>
            </w:pPr>
            <w:r>
              <w:rPr>
                <w:rFonts w:ascii="Times New Roman" w:hAnsi="Times New Roman" w:cs="Times New Roman"/>
                <w:sz w:val="18"/>
                <w:szCs w:val="18"/>
              </w:rPr>
              <w:t>纵向</w:t>
            </w:r>
          </w:p>
        </w:tc>
        <w:tc>
          <w:tcPr>
            <w:tcW w:w="1971" w:type="dxa"/>
            <w:tcBorders>
              <w:tl2br w:val="nil"/>
              <w:tr2bl w:val="nil"/>
            </w:tcBorders>
            <w:vAlign w:val="center"/>
          </w:tcPr>
          <w:p w14:paraId="007F86A4">
            <w:pPr>
              <w:overflowPunct w:val="0"/>
              <w:jc w:val="center"/>
              <w:rPr>
                <w:rFonts w:ascii="Times New Roman" w:hAnsi="Times New Roman" w:cs="Times New Roman"/>
                <w:sz w:val="18"/>
                <w:szCs w:val="18"/>
              </w:rPr>
            </w:pPr>
            <w:r>
              <w:rPr>
                <w:rFonts w:ascii="Times New Roman" w:hAnsi="Times New Roman" w:cs="Times New Roman"/>
                <w:sz w:val="18"/>
                <w:szCs w:val="18"/>
              </w:rPr>
              <w:t>≥18</w:t>
            </w:r>
          </w:p>
        </w:tc>
        <w:tc>
          <w:tcPr>
            <w:tcW w:w="1971" w:type="dxa"/>
            <w:tcBorders>
              <w:tl2br w:val="nil"/>
              <w:tr2bl w:val="nil"/>
            </w:tcBorders>
            <w:vAlign w:val="center"/>
          </w:tcPr>
          <w:p w14:paraId="46566E20">
            <w:pPr>
              <w:overflowPunct w:val="0"/>
              <w:jc w:val="center"/>
              <w:rPr>
                <w:rFonts w:ascii="Times New Roman" w:hAnsi="Times New Roman" w:cs="Times New Roman"/>
                <w:sz w:val="18"/>
                <w:szCs w:val="18"/>
              </w:rPr>
            </w:pPr>
            <w:r>
              <w:rPr>
                <w:rFonts w:ascii="Times New Roman" w:hAnsi="Times New Roman" w:cs="Times New Roman"/>
                <w:sz w:val="18"/>
                <w:szCs w:val="18"/>
              </w:rPr>
              <w:t>≥20</w:t>
            </w:r>
          </w:p>
        </w:tc>
        <w:tc>
          <w:tcPr>
            <w:tcW w:w="1971" w:type="dxa"/>
            <w:vMerge w:val="restart"/>
            <w:tcBorders>
              <w:tl2br w:val="nil"/>
              <w:tr2bl w:val="nil"/>
            </w:tcBorders>
            <w:vAlign w:val="center"/>
          </w:tcPr>
          <w:p w14:paraId="1EE923F6">
            <w:pPr>
              <w:overflowPunct w:val="0"/>
              <w:jc w:val="center"/>
              <w:rPr>
                <w:rFonts w:ascii="Times New Roman" w:hAnsi="Times New Roman" w:cs="Times New Roman"/>
                <w:sz w:val="18"/>
                <w:szCs w:val="18"/>
              </w:rPr>
            </w:pPr>
            <w:r>
              <w:rPr>
                <w:rFonts w:ascii="Times New Roman" w:hAnsi="Times New Roman" w:cs="Times New Roman"/>
                <w:sz w:val="18"/>
                <w:szCs w:val="18"/>
              </w:rPr>
              <w:t>GB/T 7689.5-2013</w:t>
            </w:r>
          </w:p>
        </w:tc>
      </w:tr>
      <w:tr w14:paraId="187EF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Merge w:val="continue"/>
            <w:tcBorders>
              <w:tl2br w:val="nil"/>
              <w:tr2bl w:val="nil"/>
            </w:tcBorders>
            <w:vAlign w:val="center"/>
          </w:tcPr>
          <w:p w14:paraId="411A4554">
            <w:pPr>
              <w:overflowPunct w:val="0"/>
              <w:jc w:val="center"/>
              <w:rPr>
                <w:rFonts w:ascii="Times New Roman" w:hAnsi="Times New Roman" w:cs="Times New Roman"/>
                <w:sz w:val="18"/>
                <w:szCs w:val="18"/>
              </w:rPr>
            </w:pPr>
          </w:p>
        </w:tc>
        <w:tc>
          <w:tcPr>
            <w:tcW w:w="1971" w:type="dxa"/>
            <w:tcBorders>
              <w:tl2br w:val="nil"/>
              <w:tr2bl w:val="nil"/>
            </w:tcBorders>
            <w:vAlign w:val="center"/>
          </w:tcPr>
          <w:p w14:paraId="3EAB0BDE">
            <w:pPr>
              <w:overflowPunct w:val="0"/>
              <w:jc w:val="center"/>
              <w:rPr>
                <w:rFonts w:ascii="Times New Roman" w:hAnsi="Times New Roman" w:cs="Times New Roman"/>
                <w:sz w:val="18"/>
                <w:szCs w:val="18"/>
              </w:rPr>
            </w:pPr>
            <w:r>
              <w:rPr>
                <w:rFonts w:ascii="Times New Roman" w:hAnsi="Times New Roman" w:cs="Times New Roman"/>
                <w:sz w:val="18"/>
                <w:szCs w:val="18"/>
              </w:rPr>
              <w:t>横向</w:t>
            </w:r>
          </w:p>
        </w:tc>
        <w:tc>
          <w:tcPr>
            <w:tcW w:w="1971" w:type="dxa"/>
            <w:tcBorders>
              <w:tl2br w:val="nil"/>
              <w:tr2bl w:val="nil"/>
            </w:tcBorders>
            <w:vAlign w:val="center"/>
          </w:tcPr>
          <w:p w14:paraId="6BCA3103">
            <w:pPr>
              <w:overflowPunct w:val="0"/>
              <w:jc w:val="center"/>
              <w:rPr>
                <w:rFonts w:ascii="Times New Roman" w:hAnsi="Times New Roman" w:cs="Times New Roman"/>
                <w:sz w:val="18"/>
                <w:szCs w:val="18"/>
              </w:rPr>
            </w:pPr>
            <w:r>
              <w:rPr>
                <w:rFonts w:ascii="Times New Roman" w:hAnsi="Times New Roman" w:cs="Times New Roman"/>
                <w:sz w:val="18"/>
                <w:szCs w:val="18"/>
              </w:rPr>
              <w:t>≥50</w:t>
            </w:r>
          </w:p>
        </w:tc>
        <w:tc>
          <w:tcPr>
            <w:tcW w:w="1971" w:type="dxa"/>
            <w:tcBorders>
              <w:tl2br w:val="nil"/>
              <w:tr2bl w:val="nil"/>
            </w:tcBorders>
            <w:vAlign w:val="center"/>
          </w:tcPr>
          <w:p w14:paraId="49B07368">
            <w:pPr>
              <w:overflowPunct w:val="0"/>
              <w:jc w:val="center"/>
              <w:rPr>
                <w:rFonts w:ascii="Times New Roman" w:hAnsi="Times New Roman" w:cs="Times New Roman"/>
                <w:sz w:val="18"/>
                <w:szCs w:val="18"/>
              </w:rPr>
            </w:pPr>
            <w:r>
              <w:rPr>
                <w:rFonts w:ascii="Times New Roman" w:hAnsi="Times New Roman" w:cs="Times New Roman"/>
                <w:sz w:val="18"/>
                <w:szCs w:val="18"/>
              </w:rPr>
              <w:t>≥60</w:t>
            </w:r>
          </w:p>
        </w:tc>
        <w:tc>
          <w:tcPr>
            <w:tcW w:w="1971" w:type="dxa"/>
            <w:vMerge w:val="continue"/>
            <w:tcBorders>
              <w:tl2br w:val="nil"/>
              <w:tr2bl w:val="nil"/>
            </w:tcBorders>
            <w:vAlign w:val="center"/>
          </w:tcPr>
          <w:p w14:paraId="49FA486E">
            <w:pPr>
              <w:overflowPunct w:val="0"/>
              <w:jc w:val="center"/>
              <w:rPr>
                <w:rFonts w:ascii="Times New Roman" w:hAnsi="Times New Roman" w:cs="Times New Roman"/>
                <w:sz w:val="18"/>
                <w:szCs w:val="18"/>
              </w:rPr>
            </w:pPr>
          </w:p>
        </w:tc>
      </w:tr>
      <w:tr w14:paraId="2B66B0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tcBorders>
              <w:tl2br w:val="nil"/>
              <w:tr2bl w:val="nil"/>
            </w:tcBorders>
            <w:vAlign w:val="center"/>
          </w:tcPr>
          <w:p w14:paraId="0A04E389">
            <w:pPr>
              <w:overflowPunct w:val="0"/>
              <w:jc w:val="center"/>
              <w:rPr>
                <w:rFonts w:ascii="Times New Roman" w:hAnsi="Times New Roman" w:cs="Times New Roman"/>
                <w:sz w:val="18"/>
                <w:szCs w:val="18"/>
              </w:rPr>
            </w:pPr>
            <w:r>
              <w:rPr>
                <w:rFonts w:ascii="Times New Roman" w:hAnsi="Times New Roman" w:cs="Times New Roman"/>
                <w:sz w:val="18"/>
                <w:szCs w:val="18"/>
              </w:rPr>
              <w:t>不透水性</w:t>
            </w:r>
          </w:p>
        </w:tc>
        <w:tc>
          <w:tcPr>
            <w:tcW w:w="3942" w:type="dxa"/>
            <w:gridSpan w:val="2"/>
            <w:tcBorders>
              <w:tl2br w:val="nil"/>
              <w:tr2bl w:val="nil"/>
            </w:tcBorders>
            <w:vAlign w:val="center"/>
          </w:tcPr>
          <w:p w14:paraId="431AED39">
            <w:pPr>
              <w:overflowPunct w:val="0"/>
              <w:jc w:val="center"/>
              <w:rPr>
                <w:rFonts w:ascii="Times New Roman" w:hAnsi="Times New Roman" w:cs="Times New Roman"/>
                <w:sz w:val="18"/>
                <w:szCs w:val="18"/>
              </w:rPr>
            </w:pPr>
            <w:r>
              <w:rPr>
                <w:rFonts w:ascii="Times New Roman" w:hAnsi="Times New Roman" w:cs="Times New Roman"/>
                <w:sz w:val="18"/>
                <w:szCs w:val="18"/>
              </w:rPr>
              <w:t>1000mm，20h不透水</w:t>
            </w:r>
          </w:p>
        </w:tc>
        <w:tc>
          <w:tcPr>
            <w:tcW w:w="1971" w:type="dxa"/>
            <w:tcBorders>
              <w:tl2br w:val="nil"/>
              <w:tr2bl w:val="nil"/>
            </w:tcBorders>
            <w:vAlign w:val="center"/>
          </w:tcPr>
          <w:p w14:paraId="1C26FED4">
            <w:pPr>
              <w:overflowPunct w:val="0"/>
              <w:jc w:val="center"/>
              <w:rPr>
                <w:rFonts w:ascii="Times New Roman" w:hAnsi="Times New Roman" w:cs="Times New Roman"/>
                <w:sz w:val="18"/>
                <w:szCs w:val="18"/>
              </w:rPr>
            </w:pPr>
            <w:r>
              <w:rPr>
                <w:rFonts w:ascii="Times New Roman" w:hAnsi="Times New Roman" w:cs="Times New Roman"/>
                <w:sz w:val="18"/>
                <w:szCs w:val="18"/>
              </w:rPr>
              <w:t>GB/T 328.10</w:t>
            </w:r>
          </w:p>
        </w:tc>
      </w:tr>
      <w:tr w14:paraId="1BC64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tcBorders>
              <w:tl2br w:val="nil"/>
              <w:tr2bl w:val="nil"/>
            </w:tcBorders>
            <w:vAlign w:val="center"/>
          </w:tcPr>
          <w:p w14:paraId="4EBA86AF">
            <w:pPr>
              <w:overflowPunct w:val="0"/>
              <w:jc w:val="center"/>
              <w:rPr>
                <w:rFonts w:ascii="Times New Roman" w:hAnsi="Times New Roman" w:cs="Times New Roman"/>
                <w:sz w:val="18"/>
                <w:szCs w:val="18"/>
              </w:rPr>
            </w:pPr>
            <w:r>
              <w:rPr>
                <w:rFonts w:ascii="Times New Roman" w:hAnsi="Times New Roman" w:cs="Times New Roman"/>
                <w:sz w:val="18"/>
                <w:szCs w:val="18"/>
              </w:rPr>
              <w:t>水蒸气当量空气层厚度Sd，m</w:t>
            </w:r>
          </w:p>
        </w:tc>
        <w:tc>
          <w:tcPr>
            <w:tcW w:w="1971" w:type="dxa"/>
            <w:tcBorders>
              <w:tl2br w:val="nil"/>
              <w:tr2bl w:val="nil"/>
            </w:tcBorders>
            <w:vAlign w:val="center"/>
          </w:tcPr>
          <w:p w14:paraId="06B2FA69">
            <w:pPr>
              <w:overflowPunct w:val="0"/>
              <w:jc w:val="center"/>
              <w:rPr>
                <w:rFonts w:ascii="Times New Roman" w:hAnsi="Times New Roman" w:cs="Times New Roman"/>
                <w:sz w:val="18"/>
                <w:szCs w:val="18"/>
              </w:rPr>
            </w:pPr>
            <w:r>
              <w:rPr>
                <w:rFonts w:ascii="Times New Roman" w:hAnsi="Times New Roman" w:cs="Times New Roman"/>
                <w:sz w:val="18"/>
                <w:szCs w:val="18"/>
              </w:rPr>
              <w:t>≥20</w:t>
            </w:r>
          </w:p>
        </w:tc>
        <w:tc>
          <w:tcPr>
            <w:tcW w:w="1971" w:type="dxa"/>
            <w:tcBorders>
              <w:tl2br w:val="nil"/>
              <w:tr2bl w:val="nil"/>
            </w:tcBorders>
            <w:vAlign w:val="center"/>
          </w:tcPr>
          <w:p w14:paraId="38FEB154">
            <w:pPr>
              <w:overflowPunct w:val="0"/>
              <w:jc w:val="center"/>
              <w:rPr>
                <w:rFonts w:ascii="Times New Roman" w:hAnsi="Times New Roman" w:cs="Times New Roman"/>
                <w:sz w:val="18"/>
                <w:szCs w:val="18"/>
              </w:rPr>
            </w:pPr>
            <w:r>
              <w:rPr>
                <w:rFonts w:ascii="Times New Roman" w:hAnsi="Times New Roman" w:cs="Times New Roman"/>
                <w:sz w:val="18"/>
                <w:szCs w:val="18"/>
              </w:rPr>
              <w:t>≤1</w:t>
            </w:r>
          </w:p>
        </w:tc>
        <w:tc>
          <w:tcPr>
            <w:tcW w:w="1971" w:type="dxa"/>
            <w:tcBorders>
              <w:tl2br w:val="nil"/>
              <w:tr2bl w:val="nil"/>
            </w:tcBorders>
            <w:vAlign w:val="center"/>
          </w:tcPr>
          <w:p w14:paraId="1D8EFE33">
            <w:pPr>
              <w:overflowPunct w:val="0"/>
              <w:jc w:val="center"/>
              <w:rPr>
                <w:rFonts w:ascii="Times New Roman" w:hAnsi="Times New Roman" w:cs="Times New Roman"/>
                <w:sz w:val="18"/>
                <w:szCs w:val="18"/>
              </w:rPr>
            </w:pPr>
            <w:r>
              <w:rPr>
                <w:rFonts w:ascii="Times New Roman" w:hAnsi="Times New Roman" w:cs="Times New Roman"/>
                <w:sz w:val="18"/>
                <w:szCs w:val="18"/>
              </w:rPr>
              <w:t>GB/T 17146</w:t>
            </w:r>
          </w:p>
        </w:tc>
      </w:tr>
      <w:tr w14:paraId="76D64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tcBorders>
              <w:tl2br w:val="nil"/>
              <w:tr2bl w:val="nil"/>
            </w:tcBorders>
            <w:vAlign w:val="center"/>
          </w:tcPr>
          <w:p w14:paraId="4B145094">
            <w:pPr>
              <w:overflowPunct w:val="0"/>
              <w:jc w:val="center"/>
              <w:rPr>
                <w:rFonts w:ascii="Times New Roman" w:hAnsi="Times New Roman" w:cs="Times New Roman"/>
                <w:sz w:val="18"/>
                <w:szCs w:val="18"/>
              </w:rPr>
            </w:pPr>
            <w:r>
              <w:rPr>
                <w:rFonts w:hint="eastAsia" w:ascii="Times New Roman" w:hAnsi="Times New Roman" w:cs="Times New Roman"/>
                <w:sz w:val="18"/>
                <w:szCs w:val="18"/>
              </w:rPr>
              <w:t>透汽</w:t>
            </w:r>
            <w:r>
              <w:rPr>
                <w:rFonts w:ascii="Times New Roman" w:hAnsi="Times New Roman" w:cs="Times New Roman"/>
                <w:sz w:val="18"/>
                <w:szCs w:val="18"/>
              </w:rPr>
              <w:t>率，mm/s</w:t>
            </w:r>
          </w:p>
        </w:tc>
        <w:tc>
          <w:tcPr>
            <w:tcW w:w="3942" w:type="dxa"/>
            <w:gridSpan w:val="2"/>
            <w:tcBorders>
              <w:tl2br w:val="nil"/>
              <w:tr2bl w:val="nil"/>
            </w:tcBorders>
            <w:vAlign w:val="center"/>
          </w:tcPr>
          <w:p w14:paraId="0EBA473E">
            <w:pPr>
              <w:overflowPunct w:val="0"/>
              <w:jc w:val="center"/>
              <w:rPr>
                <w:rFonts w:ascii="Times New Roman" w:hAnsi="Times New Roman" w:cs="Times New Roman"/>
                <w:sz w:val="18"/>
                <w:szCs w:val="18"/>
              </w:rPr>
            </w:pPr>
            <w:r>
              <w:rPr>
                <w:rFonts w:ascii="Times New Roman" w:hAnsi="Times New Roman" w:cs="Times New Roman"/>
                <w:sz w:val="18"/>
                <w:szCs w:val="18"/>
              </w:rPr>
              <w:t>≤1.0</w:t>
            </w:r>
          </w:p>
        </w:tc>
        <w:tc>
          <w:tcPr>
            <w:tcW w:w="1971" w:type="dxa"/>
            <w:tcBorders>
              <w:tl2br w:val="nil"/>
              <w:tr2bl w:val="nil"/>
            </w:tcBorders>
            <w:vAlign w:val="center"/>
          </w:tcPr>
          <w:p w14:paraId="630A7674">
            <w:pPr>
              <w:overflowPunct w:val="0"/>
              <w:jc w:val="center"/>
              <w:rPr>
                <w:rFonts w:ascii="Times New Roman" w:hAnsi="Times New Roman" w:cs="Times New Roman"/>
                <w:sz w:val="18"/>
                <w:szCs w:val="18"/>
              </w:rPr>
            </w:pPr>
            <w:r>
              <w:rPr>
                <w:rFonts w:ascii="Times New Roman" w:hAnsi="Times New Roman" w:cs="Times New Roman"/>
                <w:sz w:val="18"/>
                <w:szCs w:val="18"/>
              </w:rPr>
              <w:t>GB/T 5453</w:t>
            </w:r>
          </w:p>
        </w:tc>
      </w:tr>
      <w:tr w14:paraId="297FF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41" w:type="dxa"/>
            <w:gridSpan w:val="2"/>
            <w:tcBorders>
              <w:tl2br w:val="nil"/>
              <w:tr2bl w:val="nil"/>
            </w:tcBorders>
            <w:vAlign w:val="center"/>
          </w:tcPr>
          <w:p w14:paraId="65435061">
            <w:pPr>
              <w:overflowPunct w:val="0"/>
              <w:jc w:val="center"/>
              <w:rPr>
                <w:rFonts w:ascii="Times New Roman" w:hAnsi="Times New Roman" w:cs="Times New Roman"/>
                <w:sz w:val="18"/>
                <w:szCs w:val="18"/>
              </w:rPr>
            </w:pPr>
            <w:r>
              <w:rPr>
                <w:rFonts w:ascii="Times New Roman" w:hAnsi="Times New Roman" w:cs="Times New Roman"/>
                <w:sz w:val="18"/>
                <w:szCs w:val="18"/>
              </w:rPr>
              <w:t>180°剥离强度，kN/m</w:t>
            </w:r>
          </w:p>
        </w:tc>
        <w:tc>
          <w:tcPr>
            <w:tcW w:w="3942" w:type="dxa"/>
            <w:gridSpan w:val="2"/>
            <w:tcBorders>
              <w:tl2br w:val="nil"/>
              <w:tr2bl w:val="nil"/>
            </w:tcBorders>
            <w:vAlign w:val="center"/>
          </w:tcPr>
          <w:p w14:paraId="4CD013AC">
            <w:pPr>
              <w:overflowPunct w:val="0"/>
              <w:jc w:val="center"/>
              <w:rPr>
                <w:rFonts w:ascii="Times New Roman" w:hAnsi="Times New Roman" w:cs="Times New Roman"/>
                <w:sz w:val="18"/>
                <w:szCs w:val="18"/>
              </w:rPr>
            </w:pPr>
            <w:r>
              <w:rPr>
                <w:rFonts w:ascii="Times New Roman" w:hAnsi="Times New Roman" w:cs="Times New Roman"/>
                <w:sz w:val="18"/>
                <w:szCs w:val="18"/>
              </w:rPr>
              <w:t>≥0.4</w:t>
            </w:r>
          </w:p>
        </w:tc>
        <w:tc>
          <w:tcPr>
            <w:tcW w:w="1971" w:type="dxa"/>
            <w:tcBorders>
              <w:tl2br w:val="nil"/>
              <w:tr2bl w:val="nil"/>
            </w:tcBorders>
            <w:vAlign w:val="center"/>
          </w:tcPr>
          <w:p w14:paraId="5E21CDD2">
            <w:pPr>
              <w:overflowPunct w:val="0"/>
              <w:jc w:val="center"/>
              <w:rPr>
                <w:rFonts w:ascii="Times New Roman" w:hAnsi="Times New Roman" w:cs="Times New Roman"/>
                <w:sz w:val="18"/>
                <w:szCs w:val="18"/>
              </w:rPr>
            </w:pPr>
            <w:r>
              <w:rPr>
                <w:rFonts w:ascii="Times New Roman" w:hAnsi="Times New Roman" w:cs="Times New Roman"/>
                <w:sz w:val="18"/>
                <w:szCs w:val="18"/>
              </w:rPr>
              <w:t>GB/T 2790</w:t>
            </w:r>
          </w:p>
        </w:tc>
      </w:tr>
    </w:tbl>
    <w:p w14:paraId="018F2F04">
      <w:pPr>
        <w:pStyle w:val="700"/>
      </w:pPr>
    </w:p>
    <w:p w14:paraId="3AAE239D">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ascii="黑体" w:hAnsi="黑体" w:eastAsia="黑体" w:cs="黑体"/>
          <w:sz w:val="18"/>
          <w:szCs w:val="18"/>
        </w:rPr>
        <w:t>表C.</w:t>
      </w:r>
      <w:r>
        <w:rPr>
          <w:rFonts w:hint="eastAsia" w:ascii="黑体" w:hAnsi="黑体" w:eastAsia="黑体" w:cs="黑体"/>
          <w:sz w:val="18"/>
          <w:szCs w:val="18"/>
          <w:lang w:val="en-US" w:eastAsia="zh-CN"/>
        </w:rPr>
        <w:t>1.1</w:t>
      </w:r>
      <w:r>
        <w:rPr>
          <w:rFonts w:hint="eastAsia" w:ascii="黑体" w:hAnsi="黑体" w:eastAsia="黑体" w:cs="黑体"/>
          <w:sz w:val="18"/>
          <w:szCs w:val="18"/>
        </w:rPr>
        <w:t>-2</w:t>
      </w:r>
      <w:r>
        <w:rPr>
          <w:rFonts w:ascii="黑体" w:hAnsi="黑体" w:eastAsia="黑体" w:cs="黑体"/>
          <w:sz w:val="18"/>
          <w:szCs w:val="18"/>
        </w:rPr>
        <w:t>　门窗洞口用防水</w:t>
      </w:r>
      <w:r>
        <w:rPr>
          <w:rFonts w:hint="eastAsia" w:ascii="Times New Roman" w:hAnsi="Times New Roman" w:eastAsia="黑体" w:cs="黑体"/>
          <w:sz w:val="18"/>
          <w:szCs w:val="18"/>
        </w:rPr>
        <w:t>透汽</w:t>
      </w:r>
      <w:r>
        <w:rPr>
          <w:rFonts w:ascii="黑体" w:hAnsi="黑体" w:eastAsia="黑体" w:cs="黑体"/>
          <w:sz w:val="18"/>
          <w:szCs w:val="18"/>
        </w:rPr>
        <w:t>膜</w:t>
      </w:r>
      <w:r>
        <w:rPr>
          <w:rFonts w:hint="eastAsia" w:ascii="黑体" w:hAnsi="黑体" w:eastAsia="黑体" w:cs="黑体"/>
          <w:sz w:val="18"/>
          <w:szCs w:val="18"/>
        </w:rPr>
        <w:t>（自粘型）</w:t>
      </w:r>
      <w:r>
        <w:rPr>
          <w:rFonts w:ascii="黑体" w:hAnsi="黑体" w:eastAsia="黑体" w:cs="黑体"/>
          <w:sz w:val="18"/>
          <w:szCs w:val="18"/>
        </w:rPr>
        <w:t>与防水隔气膜</w:t>
      </w:r>
      <w:r>
        <w:rPr>
          <w:rFonts w:hint="eastAsia" w:ascii="黑体" w:hAnsi="黑体" w:eastAsia="黑体" w:cs="黑体"/>
          <w:sz w:val="18"/>
          <w:szCs w:val="18"/>
        </w:rPr>
        <w:t>（自粘型）</w:t>
      </w:r>
      <w:r>
        <w:rPr>
          <w:rFonts w:ascii="黑体" w:hAnsi="黑体" w:eastAsia="黑体" w:cs="黑体"/>
          <w:sz w:val="18"/>
          <w:szCs w:val="18"/>
        </w:rPr>
        <w:t>的性能指标</w:t>
      </w:r>
    </w:p>
    <w:tbl>
      <w:tblPr>
        <w:tblStyle w:val="89"/>
        <w:tblW w:w="95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914"/>
      </w:tblGrid>
      <w:tr w14:paraId="2924E6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vMerge w:val="restart"/>
            <w:tcBorders>
              <w:tl2br w:val="nil"/>
              <w:tr2bl w:val="nil"/>
            </w:tcBorders>
            <w:vAlign w:val="center"/>
          </w:tcPr>
          <w:p w14:paraId="1FB36087">
            <w:pPr>
              <w:overflowPunct w:val="0"/>
              <w:jc w:val="center"/>
              <w:rPr>
                <w:rFonts w:ascii="Times New Roman" w:hAnsi="Times New Roman" w:cs="Times New Roman"/>
                <w:sz w:val="18"/>
                <w:szCs w:val="18"/>
              </w:rPr>
            </w:pPr>
            <w:r>
              <w:rPr>
                <w:rFonts w:ascii="Times New Roman" w:hAnsi="Times New Roman" w:cs="Times New Roman"/>
                <w:sz w:val="18"/>
                <w:szCs w:val="18"/>
              </w:rPr>
              <w:t>项目</w:t>
            </w:r>
          </w:p>
        </w:tc>
        <w:tc>
          <w:tcPr>
            <w:tcW w:w="3828" w:type="dxa"/>
            <w:gridSpan w:val="2"/>
            <w:tcBorders>
              <w:tl2br w:val="nil"/>
              <w:tr2bl w:val="nil"/>
            </w:tcBorders>
            <w:vAlign w:val="center"/>
          </w:tcPr>
          <w:p w14:paraId="1A558B3C">
            <w:pPr>
              <w:overflowPunct w:val="0"/>
              <w:jc w:val="center"/>
              <w:rPr>
                <w:rFonts w:ascii="Times New Roman" w:hAnsi="Times New Roman" w:cs="Times New Roman"/>
                <w:sz w:val="18"/>
                <w:szCs w:val="18"/>
              </w:rPr>
            </w:pPr>
            <w:r>
              <w:rPr>
                <w:rFonts w:ascii="Times New Roman" w:hAnsi="Times New Roman" w:cs="Times New Roman"/>
                <w:sz w:val="18"/>
                <w:szCs w:val="18"/>
              </w:rPr>
              <w:t>性能指标</w:t>
            </w:r>
          </w:p>
        </w:tc>
        <w:tc>
          <w:tcPr>
            <w:tcW w:w="1914" w:type="dxa"/>
            <w:vMerge w:val="restart"/>
            <w:tcBorders>
              <w:tl2br w:val="nil"/>
              <w:tr2bl w:val="nil"/>
            </w:tcBorders>
            <w:vAlign w:val="center"/>
          </w:tcPr>
          <w:p w14:paraId="31AD7CF6">
            <w:pPr>
              <w:overflowPunct w:val="0"/>
              <w:jc w:val="center"/>
              <w:rPr>
                <w:rFonts w:ascii="Times New Roman" w:hAnsi="Times New Roman" w:cs="Times New Roman"/>
                <w:sz w:val="18"/>
                <w:szCs w:val="18"/>
              </w:rPr>
            </w:pPr>
            <w:r>
              <w:rPr>
                <w:rFonts w:ascii="Times New Roman" w:hAnsi="Times New Roman" w:cs="Times New Roman"/>
                <w:sz w:val="18"/>
                <w:szCs w:val="18"/>
              </w:rPr>
              <w:t>试验方法</w:t>
            </w:r>
          </w:p>
        </w:tc>
      </w:tr>
      <w:tr w14:paraId="0F3B1E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vMerge w:val="continue"/>
            <w:tcBorders>
              <w:tl2br w:val="nil"/>
              <w:tr2bl w:val="nil"/>
            </w:tcBorders>
            <w:vAlign w:val="center"/>
          </w:tcPr>
          <w:p w14:paraId="64A03432">
            <w:pPr>
              <w:overflowPunct w:val="0"/>
              <w:jc w:val="center"/>
              <w:rPr>
                <w:rFonts w:ascii="Times New Roman" w:hAnsi="Times New Roman" w:cs="Times New Roman"/>
                <w:sz w:val="18"/>
                <w:szCs w:val="18"/>
              </w:rPr>
            </w:pPr>
          </w:p>
        </w:tc>
        <w:tc>
          <w:tcPr>
            <w:tcW w:w="1914" w:type="dxa"/>
            <w:tcBorders>
              <w:tl2br w:val="nil"/>
              <w:tr2bl w:val="nil"/>
            </w:tcBorders>
            <w:vAlign w:val="center"/>
          </w:tcPr>
          <w:p w14:paraId="1F500486">
            <w:pPr>
              <w:overflowPunct w:val="0"/>
              <w:jc w:val="center"/>
              <w:rPr>
                <w:rFonts w:ascii="Times New Roman" w:hAnsi="Times New Roman" w:cs="Times New Roman"/>
                <w:sz w:val="18"/>
                <w:szCs w:val="18"/>
              </w:rPr>
            </w:pPr>
            <w:r>
              <w:rPr>
                <w:rFonts w:ascii="Times New Roman" w:hAnsi="Times New Roman" w:cs="Times New Roman"/>
                <w:sz w:val="18"/>
                <w:szCs w:val="18"/>
              </w:rPr>
              <w:t>防水隔汽膜</w:t>
            </w:r>
          </w:p>
        </w:tc>
        <w:tc>
          <w:tcPr>
            <w:tcW w:w="1914" w:type="dxa"/>
            <w:tcBorders>
              <w:tl2br w:val="nil"/>
              <w:tr2bl w:val="nil"/>
            </w:tcBorders>
            <w:vAlign w:val="center"/>
          </w:tcPr>
          <w:p w14:paraId="4EFD3F9C">
            <w:pPr>
              <w:overflowPunct w:val="0"/>
              <w:jc w:val="center"/>
              <w:rPr>
                <w:rFonts w:ascii="Times New Roman" w:hAnsi="Times New Roman" w:cs="Times New Roman"/>
                <w:sz w:val="18"/>
                <w:szCs w:val="18"/>
              </w:rPr>
            </w:pPr>
            <w:r>
              <w:rPr>
                <w:rFonts w:ascii="Times New Roman" w:hAnsi="Times New Roman" w:cs="Times New Roman"/>
                <w:sz w:val="18"/>
                <w:szCs w:val="18"/>
              </w:rPr>
              <w:t>防水</w:t>
            </w:r>
            <w:r>
              <w:rPr>
                <w:rFonts w:hint="eastAsia" w:ascii="Times New Roman" w:hAnsi="Times New Roman" w:cs="Times New Roman"/>
                <w:sz w:val="18"/>
                <w:szCs w:val="18"/>
              </w:rPr>
              <w:t>透汽</w:t>
            </w:r>
            <w:r>
              <w:rPr>
                <w:rFonts w:ascii="Times New Roman" w:hAnsi="Times New Roman" w:cs="Times New Roman"/>
                <w:sz w:val="18"/>
                <w:szCs w:val="18"/>
              </w:rPr>
              <w:t>膜</w:t>
            </w:r>
          </w:p>
        </w:tc>
        <w:tc>
          <w:tcPr>
            <w:tcW w:w="1914" w:type="dxa"/>
            <w:vMerge w:val="continue"/>
            <w:tcBorders>
              <w:tl2br w:val="nil"/>
              <w:tr2bl w:val="nil"/>
            </w:tcBorders>
            <w:vAlign w:val="center"/>
          </w:tcPr>
          <w:p w14:paraId="29FEC127">
            <w:pPr>
              <w:overflowPunct w:val="0"/>
              <w:jc w:val="center"/>
              <w:rPr>
                <w:rFonts w:ascii="Times New Roman" w:hAnsi="Times New Roman" w:cs="Times New Roman"/>
                <w:sz w:val="18"/>
                <w:szCs w:val="18"/>
              </w:rPr>
            </w:pPr>
          </w:p>
        </w:tc>
      </w:tr>
      <w:tr w14:paraId="5A05E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restart"/>
            <w:tcBorders>
              <w:tl2br w:val="nil"/>
              <w:tr2bl w:val="nil"/>
            </w:tcBorders>
            <w:vAlign w:val="center"/>
          </w:tcPr>
          <w:p w14:paraId="3FCF6F12">
            <w:pPr>
              <w:overflowPunct w:val="0"/>
              <w:jc w:val="center"/>
              <w:rPr>
                <w:rFonts w:ascii="Times New Roman" w:hAnsi="Times New Roman" w:cs="Times New Roman"/>
                <w:sz w:val="18"/>
                <w:szCs w:val="18"/>
              </w:rPr>
            </w:pPr>
            <w:r>
              <w:rPr>
                <w:rFonts w:ascii="Times New Roman" w:hAnsi="Times New Roman" w:cs="Times New Roman"/>
                <w:sz w:val="18"/>
                <w:szCs w:val="18"/>
              </w:rPr>
              <w:t>最大抗拉强度，N/50mm</w:t>
            </w:r>
          </w:p>
        </w:tc>
        <w:tc>
          <w:tcPr>
            <w:tcW w:w="1914" w:type="dxa"/>
            <w:tcBorders>
              <w:tl2br w:val="nil"/>
              <w:tr2bl w:val="nil"/>
            </w:tcBorders>
            <w:vAlign w:val="center"/>
          </w:tcPr>
          <w:p w14:paraId="7231BCA5">
            <w:pPr>
              <w:overflowPunct w:val="0"/>
              <w:jc w:val="center"/>
              <w:rPr>
                <w:rFonts w:ascii="Times New Roman" w:hAnsi="Times New Roman" w:cs="Times New Roman"/>
                <w:sz w:val="18"/>
                <w:szCs w:val="18"/>
              </w:rPr>
            </w:pPr>
            <w:r>
              <w:rPr>
                <w:rFonts w:ascii="Times New Roman" w:hAnsi="Times New Roman" w:cs="Times New Roman"/>
                <w:sz w:val="18"/>
                <w:szCs w:val="18"/>
              </w:rPr>
              <w:t>纵向</w:t>
            </w:r>
          </w:p>
        </w:tc>
        <w:tc>
          <w:tcPr>
            <w:tcW w:w="1914" w:type="dxa"/>
            <w:tcBorders>
              <w:tl2br w:val="nil"/>
              <w:tr2bl w:val="nil"/>
            </w:tcBorders>
            <w:vAlign w:val="center"/>
          </w:tcPr>
          <w:p w14:paraId="4839F87A">
            <w:pPr>
              <w:overflowPunct w:val="0"/>
              <w:jc w:val="center"/>
              <w:rPr>
                <w:rFonts w:ascii="Times New Roman" w:hAnsi="Times New Roman" w:cs="Times New Roman"/>
                <w:sz w:val="18"/>
                <w:szCs w:val="18"/>
              </w:rPr>
            </w:pPr>
            <w:r>
              <w:rPr>
                <w:rFonts w:ascii="Times New Roman" w:hAnsi="Times New Roman" w:cs="Times New Roman"/>
                <w:sz w:val="18"/>
                <w:szCs w:val="18"/>
              </w:rPr>
              <w:t>≥200</w:t>
            </w:r>
          </w:p>
        </w:tc>
        <w:tc>
          <w:tcPr>
            <w:tcW w:w="1914" w:type="dxa"/>
            <w:tcBorders>
              <w:tl2br w:val="nil"/>
              <w:tr2bl w:val="nil"/>
            </w:tcBorders>
            <w:vAlign w:val="center"/>
          </w:tcPr>
          <w:p w14:paraId="6FA66DD7">
            <w:pPr>
              <w:overflowPunct w:val="0"/>
              <w:jc w:val="center"/>
              <w:rPr>
                <w:rFonts w:ascii="Times New Roman" w:hAnsi="Times New Roman" w:cs="Times New Roman"/>
                <w:sz w:val="18"/>
                <w:szCs w:val="18"/>
              </w:rPr>
            </w:pPr>
            <w:r>
              <w:rPr>
                <w:rFonts w:ascii="Times New Roman" w:hAnsi="Times New Roman" w:cs="Times New Roman"/>
                <w:sz w:val="18"/>
                <w:szCs w:val="18"/>
              </w:rPr>
              <w:t>≥250</w:t>
            </w:r>
          </w:p>
        </w:tc>
        <w:tc>
          <w:tcPr>
            <w:tcW w:w="1914" w:type="dxa"/>
            <w:vMerge w:val="restart"/>
            <w:tcBorders>
              <w:tl2br w:val="nil"/>
              <w:tr2bl w:val="nil"/>
            </w:tcBorders>
            <w:vAlign w:val="center"/>
          </w:tcPr>
          <w:p w14:paraId="0D6AC83D">
            <w:pPr>
              <w:overflowPunct w:val="0"/>
              <w:jc w:val="center"/>
              <w:rPr>
                <w:rFonts w:ascii="Times New Roman" w:hAnsi="Times New Roman" w:cs="Times New Roman"/>
                <w:sz w:val="18"/>
                <w:szCs w:val="18"/>
              </w:rPr>
            </w:pPr>
            <w:r>
              <w:rPr>
                <w:rFonts w:ascii="Times New Roman" w:hAnsi="Times New Roman" w:cs="Times New Roman"/>
                <w:sz w:val="18"/>
                <w:szCs w:val="18"/>
              </w:rPr>
              <w:t>GB/T 7689.5-2013</w:t>
            </w:r>
          </w:p>
        </w:tc>
      </w:tr>
      <w:tr w14:paraId="045C1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continue"/>
            <w:tcBorders>
              <w:tl2br w:val="nil"/>
              <w:tr2bl w:val="nil"/>
            </w:tcBorders>
            <w:vAlign w:val="center"/>
          </w:tcPr>
          <w:p w14:paraId="196FD2B0">
            <w:pPr>
              <w:overflowPunct w:val="0"/>
              <w:jc w:val="center"/>
              <w:rPr>
                <w:rFonts w:ascii="Times New Roman" w:hAnsi="Times New Roman" w:cs="Times New Roman"/>
                <w:sz w:val="18"/>
                <w:szCs w:val="18"/>
              </w:rPr>
            </w:pPr>
          </w:p>
        </w:tc>
        <w:tc>
          <w:tcPr>
            <w:tcW w:w="1914" w:type="dxa"/>
            <w:tcBorders>
              <w:tl2br w:val="nil"/>
              <w:tr2bl w:val="nil"/>
            </w:tcBorders>
            <w:vAlign w:val="center"/>
          </w:tcPr>
          <w:p w14:paraId="1D6EF821">
            <w:pPr>
              <w:overflowPunct w:val="0"/>
              <w:jc w:val="center"/>
              <w:rPr>
                <w:rFonts w:ascii="Times New Roman" w:hAnsi="Times New Roman" w:cs="Times New Roman"/>
                <w:sz w:val="18"/>
                <w:szCs w:val="18"/>
              </w:rPr>
            </w:pPr>
            <w:r>
              <w:rPr>
                <w:rFonts w:ascii="Times New Roman" w:hAnsi="Times New Roman" w:cs="Times New Roman"/>
                <w:sz w:val="18"/>
                <w:szCs w:val="18"/>
              </w:rPr>
              <w:t>横向</w:t>
            </w:r>
          </w:p>
        </w:tc>
        <w:tc>
          <w:tcPr>
            <w:tcW w:w="1914" w:type="dxa"/>
            <w:tcBorders>
              <w:tl2br w:val="nil"/>
              <w:tr2bl w:val="nil"/>
            </w:tcBorders>
            <w:vAlign w:val="center"/>
          </w:tcPr>
          <w:p w14:paraId="1DF91C01">
            <w:pPr>
              <w:overflowPunct w:val="0"/>
              <w:jc w:val="center"/>
              <w:rPr>
                <w:rFonts w:ascii="Times New Roman" w:hAnsi="Times New Roman" w:cs="Times New Roman"/>
                <w:sz w:val="18"/>
                <w:szCs w:val="18"/>
              </w:rPr>
            </w:pPr>
            <w:r>
              <w:rPr>
                <w:rFonts w:ascii="Times New Roman" w:hAnsi="Times New Roman" w:cs="Times New Roman"/>
                <w:sz w:val="18"/>
                <w:szCs w:val="18"/>
              </w:rPr>
              <w:t>≥80</w:t>
            </w:r>
          </w:p>
        </w:tc>
        <w:tc>
          <w:tcPr>
            <w:tcW w:w="1914" w:type="dxa"/>
            <w:tcBorders>
              <w:tl2br w:val="nil"/>
              <w:tr2bl w:val="nil"/>
            </w:tcBorders>
            <w:vAlign w:val="center"/>
          </w:tcPr>
          <w:p w14:paraId="73A696E0">
            <w:pPr>
              <w:overflowPunct w:val="0"/>
              <w:jc w:val="center"/>
              <w:rPr>
                <w:rFonts w:ascii="Times New Roman" w:hAnsi="Times New Roman" w:cs="Times New Roman"/>
                <w:sz w:val="18"/>
                <w:szCs w:val="18"/>
              </w:rPr>
            </w:pPr>
            <w:r>
              <w:rPr>
                <w:rFonts w:ascii="Times New Roman" w:hAnsi="Times New Roman" w:cs="Times New Roman"/>
                <w:sz w:val="18"/>
                <w:szCs w:val="18"/>
              </w:rPr>
              <w:t>≥130</w:t>
            </w:r>
          </w:p>
        </w:tc>
        <w:tc>
          <w:tcPr>
            <w:tcW w:w="1914" w:type="dxa"/>
            <w:vMerge w:val="continue"/>
            <w:tcBorders>
              <w:tl2br w:val="nil"/>
              <w:tr2bl w:val="nil"/>
            </w:tcBorders>
            <w:vAlign w:val="center"/>
          </w:tcPr>
          <w:p w14:paraId="0B06F155">
            <w:pPr>
              <w:overflowPunct w:val="0"/>
              <w:jc w:val="center"/>
              <w:rPr>
                <w:rFonts w:ascii="Times New Roman" w:hAnsi="Times New Roman" w:cs="Times New Roman"/>
                <w:sz w:val="18"/>
                <w:szCs w:val="18"/>
              </w:rPr>
            </w:pPr>
          </w:p>
        </w:tc>
      </w:tr>
      <w:tr w14:paraId="52701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restart"/>
            <w:tcBorders>
              <w:tl2br w:val="nil"/>
              <w:tr2bl w:val="nil"/>
            </w:tcBorders>
            <w:vAlign w:val="center"/>
          </w:tcPr>
          <w:p w14:paraId="3BB44D00">
            <w:pPr>
              <w:overflowPunct w:val="0"/>
              <w:jc w:val="center"/>
              <w:rPr>
                <w:rFonts w:ascii="Times New Roman" w:hAnsi="Times New Roman" w:cs="Times New Roman"/>
                <w:sz w:val="18"/>
                <w:szCs w:val="18"/>
              </w:rPr>
            </w:pPr>
            <w:r>
              <w:rPr>
                <w:rFonts w:ascii="Times New Roman" w:hAnsi="Times New Roman" w:cs="Times New Roman"/>
                <w:sz w:val="18"/>
                <w:szCs w:val="18"/>
              </w:rPr>
              <w:t>断裂伸长率，%</w:t>
            </w:r>
          </w:p>
        </w:tc>
        <w:tc>
          <w:tcPr>
            <w:tcW w:w="1914" w:type="dxa"/>
            <w:tcBorders>
              <w:tl2br w:val="nil"/>
              <w:tr2bl w:val="nil"/>
            </w:tcBorders>
            <w:vAlign w:val="center"/>
          </w:tcPr>
          <w:p w14:paraId="3C2A147D">
            <w:pPr>
              <w:overflowPunct w:val="0"/>
              <w:jc w:val="center"/>
              <w:rPr>
                <w:rFonts w:ascii="Times New Roman" w:hAnsi="Times New Roman" w:cs="Times New Roman"/>
                <w:sz w:val="18"/>
                <w:szCs w:val="18"/>
              </w:rPr>
            </w:pPr>
            <w:r>
              <w:rPr>
                <w:rFonts w:ascii="Times New Roman" w:hAnsi="Times New Roman" w:cs="Times New Roman"/>
                <w:sz w:val="18"/>
                <w:szCs w:val="18"/>
              </w:rPr>
              <w:t>纵向</w:t>
            </w:r>
          </w:p>
        </w:tc>
        <w:tc>
          <w:tcPr>
            <w:tcW w:w="1914" w:type="dxa"/>
            <w:tcBorders>
              <w:tl2br w:val="nil"/>
              <w:tr2bl w:val="nil"/>
            </w:tcBorders>
            <w:vAlign w:val="center"/>
          </w:tcPr>
          <w:p w14:paraId="2C7551C4">
            <w:pPr>
              <w:overflowPunct w:val="0"/>
              <w:jc w:val="center"/>
              <w:rPr>
                <w:rFonts w:ascii="Times New Roman" w:hAnsi="Times New Roman" w:cs="Times New Roman"/>
                <w:sz w:val="18"/>
                <w:szCs w:val="18"/>
              </w:rPr>
            </w:pPr>
            <w:r>
              <w:rPr>
                <w:rFonts w:ascii="Times New Roman" w:hAnsi="Times New Roman" w:cs="Times New Roman"/>
                <w:sz w:val="18"/>
                <w:szCs w:val="18"/>
              </w:rPr>
              <w:t>≥20</w:t>
            </w:r>
          </w:p>
        </w:tc>
        <w:tc>
          <w:tcPr>
            <w:tcW w:w="1914" w:type="dxa"/>
            <w:tcBorders>
              <w:tl2br w:val="nil"/>
              <w:tr2bl w:val="nil"/>
            </w:tcBorders>
            <w:vAlign w:val="center"/>
          </w:tcPr>
          <w:p w14:paraId="64A9A768">
            <w:pPr>
              <w:overflowPunct w:val="0"/>
              <w:jc w:val="center"/>
              <w:rPr>
                <w:rFonts w:ascii="Times New Roman" w:hAnsi="Times New Roman" w:cs="Times New Roman"/>
                <w:sz w:val="18"/>
                <w:szCs w:val="18"/>
              </w:rPr>
            </w:pPr>
            <w:r>
              <w:rPr>
                <w:rFonts w:ascii="Times New Roman" w:hAnsi="Times New Roman" w:cs="Times New Roman"/>
                <w:sz w:val="18"/>
                <w:szCs w:val="18"/>
              </w:rPr>
              <w:t>≥20</w:t>
            </w:r>
          </w:p>
        </w:tc>
        <w:tc>
          <w:tcPr>
            <w:tcW w:w="1914" w:type="dxa"/>
            <w:vMerge w:val="restart"/>
            <w:tcBorders>
              <w:tl2br w:val="nil"/>
              <w:tr2bl w:val="nil"/>
            </w:tcBorders>
            <w:vAlign w:val="center"/>
          </w:tcPr>
          <w:p w14:paraId="6C045012">
            <w:pPr>
              <w:overflowPunct w:val="0"/>
              <w:jc w:val="center"/>
              <w:rPr>
                <w:rFonts w:ascii="Times New Roman" w:hAnsi="Times New Roman" w:cs="Times New Roman"/>
                <w:sz w:val="18"/>
                <w:szCs w:val="18"/>
              </w:rPr>
            </w:pPr>
            <w:r>
              <w:rPr>
                <w:rFonts w:ascii="Times New Roman" w:hAnsi="Times New Roman" w:cs="Times New Roman"/>
                <w:sz w:val="18"/>
                <w:szCs w:val="18"/>
              </w:rPr>
              <w:t>GB/T 7689.5-2013</w:t>
            </w:r>
          </w:p>
        </w:tc>
      </w:tr>
      <w:tr w14:paraId="237E7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continue"/>
            <w:tcBorders>
              <w:tl2br w:val="nil"/>
              <w:tr2bl w:val="nil"/>
            </w:tcBorders>
            <w:vAlign w:val="center"/>
          </w:tcPr>
          <w:p w14:paraId="1770E73A">
            <w:pPr>
              <w:overflowPunct w:val="0"/>
              <w:jc w:val="center"/>
              <w:rPr>
                <w:rFonts w:ascii="Times New Roman" w:hAnsi="Times New Roman" w:cs="Times New Roman"/>
                <w:sz w:val="18"/>
                <w:szCs w:val="18"/>
              </w:rPr>
            </w:pPr>
          </w:p>
        </w:tc>
        <w:tc>
          <w:tcPr>
            <w:tcW w:w="1914" w:type="dxa"/>
            <w:tcBorders>
              <w:tl2br w:val="nil"/>
              <w:tr2bl w:val="nil"/>
            </w:tcBorders>
            <w:vAlign w:val="center"/>
          </w:tcPr>
          <w:p w14:paraId="09F52C15">
            <w:pPr>
              <w:overflowPunct w:val="0"/>
              <w:jc w:val="center"/>
              <w:rPr>
                <w:rFonts w:ascii="Times New Roman" w:hAnsi="Times New Roman" w:cs="Times New Roman"/>
                <w:sz w:val="18"/>
                <w:szCs w:val="18"/>
              </w:rPr>
            </w:pPr>
            <w:r>
              <w:rPr>
                <w:rFonts w:ascii="Times New Roman" w:hAnsi="Times New Roman" w:cs="Times New Roman"/>
                <w:sz w:val="18"/>
                <w:szCs w:val="18"/>
              </w:rPr>
              <w:t>横向</w:t>
            </w:r>
          </w:p>
        </w:tc>
        <w:tc>
          <w:tcPr>
            <w:tcW w:w="1914" w:type="dxa"/>
            <w:tcBorders>
              <w:tl2br w:val="nil"/>
              <w:tr2bl w:val="nil"/>
            </w:tcBorders>
            <w:vAlign w:val="center"/>
          </w:tcPr>
          <w:p w14:paraId="3A59AA7B">
            <w:pPr>
              <w:overflowPunct w:val="0"/>
              <w:jc w:val="center"/>
              <w:rPr>
                <w:rFonts w:ascii="Times New Roman" w:hAnsi="Times New Roman" w:cs="Times New Roman"/>
                <w:sz w:val="18"/>
                <w:szCs w:val="18"/>
              </w:rPr>
            </w:pPr>
            <w:r>
              <w:rPr>
                <w:rFonts w:ascii="Times New Roman" w:hAnsi="Times New Roman" w:cs="Times New Roman"/>
                <w:sz w:val="18"/>
                <w:szCs w:val="18"/>
              </w:rPr>
              <w:t>≥60</w:t>
            </w:r>
          </w:p>
        </w:tc>
        <w:tc>
          <w:tcPr>
            <w:tcW w:w="1914" w:type="dxa"/>
            <w:tcBorders>
              <w:tl2br w:val="nil"/>
              <w:tr2bl w:val="nil"/>
            </w:tcBorders>
            <w:vAlign w:val="center"/>
          </w:tcPr>
          <w:p w14:paraId="061DD838">
            <w:pPr>
              <w:overflowPunct w:val="0"/>
              <w:jc w:val="center"/>
              <w:rPr>
                <w:rFonts w:ascii="Times New Roman" w:hAnsi="Times New Roman" w:cs="Times New Roman"/>
                <w:sz w:val="18"/>
                <w:szCs w:val="18"/>
              </w:rPr>
            </w:pPr>
            <w:r>
              <w:rPr>
                <w:rFonts w:ascii="Times New Roman" w:hAnsi="Times New Roman" w:cs="Times New Roman"/>
                <w:sz w:val="18"/>
                <w:szCs w:val="18"/>
              </w:rPr>
              <w:t>≥80</w:t>
            </w:r>
          </w:p>
        </w:tc>
        <w:tc>
          <w:tcPr>
            <w:tcW w:w="1914" w:type="dxa"/>
            <w:vMerge w:val="continue"/>
            <w:tcBorders>
              <w:tl2br w:val="nil"/>
              <w:tr2bl w:val="nil"/>
            </w:tcBorders>
            <w:vAlign w:val="center"/>
          </w:tcPr>
          <w:p w14:paraId="4EC7CDFC">
            <w:pPr>
              <w:overflowPunct w:val="0"/>
              <w:jc w:val="center"/>
              <w:rPr>
                <w:rFonts w:ascii="Times New Roman" w:hAnsi="Times New Roman" w:cs="Times New Roman"/>
                <w:sz w:val="18"/>
                <w:szCs w:val="18"/>
              </w:rPr>
            </w:pPr>
          </w:p>
        </w:tc>
      </w:tr>
      <w:tr w14:paraId="11AC3B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tcBorders>
              <w:tl2br w:val="nil"/>
              <w:tr2bl w:val="nil"/>
            </w:tcBorders>
            <w:vAlign w:val="center"/>
          </w:tcPr>
          <w:p w14:paraId="425F6218">
            <w:pPr>
              <w:overflowPunct w:val="0"/>
              <w:jc w:val="center"/>
              <w:rPr>
                <w:rFonts w:ascii="Times New Roman" w:hAnsi="Times New Roman" w:cs="Times New Roman"/>
                <w:sz w:val="18"/>
                <w:szCs w:val="18"/>
              </w:rPr>
            </w:pPr>
            <w:r>
              <w:rPr>
                <w:rFonts w:ascii="Times New Roman" w:hAnsi="Times New Roman" w:cs="Times New Roman"/>
                <w:sz w:val="18"/>
                <w:szCs w:val="18"/>
              </w:rPr>
              <w:t>不透水性</w:t>
            </w:r>
          </w:p>
        </w:tc>
        <w:tc>
          <w:tcPr>
            <w:tcW w:w="3828" w:type="dxa"/>
            <w:gridSpan w:val="2"/>
            <w:tcBorders>
              <w:tl2br w:val="nil"/>
              <w:tr2bl w:val="nil"/>
            </w:tcBorders>
            <w:vAlign w:val="center"/>
          </w:tcPr>
          <w:p w14:paraId="0FBB32BA">
            <w:pPr>
              <w:overflowPunct w:val="0"/>
              <w:jc w:val="center"/>
              <w:rPr>
                <w:rFonts w:ascii="Times New Roman" w:hAnsi="Times New Roman" w:cs="Times New Roman"/>
                <w:sz w:val="18"/>
                <w:szCs w:val="18"/>
              </w:rPr>
            </w:pPr>
            <w:r>
              <w:rPr>
                <w:rFonts w:ascii="Times New Roman" w:hAnsi="Times New Roman" w:cs="Times New Roman"/>
                <w:sz w:val="18"/>
                <w:szCs w:val="18"/>
              </w:rPr>
              <w:t>1000mm，20h不透水</w:t>
            </w:r>
          </w:p>
        </w:tc>
        <w:tc>
          <w:tcPr>
            <w:tcW w:w="1914" w:type="dxa"/>
            <w:tcBorders>
              <w:tl2br w:val="nil"/>
              <w:tr2bl w:val="nil"/>
            </w:tcBorders>
            <w:vAlign w:val="center"/>
          </w:tcPr>
          <w:p w14:paraId="5D3419BC">
            <w:pPr>
              <w:overflowPunct w:val="0"/>
              <w:jc w:val="center"/>
              <w:rPr>
                <w:rFonts w:ascii="Times New Roman" w:hAnsi="Times New Roman" w:cs="Times New Roman"/>
                <w:sz w:val="18"/>
                <w:szCs w:val="18"/>
              </w:rPr>
            </w:pPr>
            <w:r>
              <w:rPr>
                <w:rFonts w:ascii="Times New Roman" w:hAnsi="Times New Roman" w:cs="Times New Roman"/>
                <w:sz w:val="18"/>
                <w:szCs w:val="18"/>
              </w:rPr>
              <w:t>GB/T 328.10</w:t>
            </w:r>
          </w:p>
        </w:tc>
      </w:tr>
      <w:tr w14:paraId="29AAE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tcBorders>
              <w:tl2br w:val="nil"/>
              <w:tr2bl w:val="nil"/>
            </w:tcBorders>
            <w:vAlign w:val="center"/>
          </w:tcPr>
          <w:p w14:paraId="34A65B40">
            <w:pPr>
              <w:overflowPunct w:val="0"/>
              <w:jc w:val="center"/>
              <w:rPr>
                <w:rFonts w:ascii="Times New Roman" w:hAnsi="Times New Roman" w:cs="Times New Roman"/>
                <w:sz w:val="18"/>
                <w:szCs w:val="18"/>
              </w:rPr>
            </w:pPr>
            <w:r>
              <w:rPr>
                <w:rFonts w:ascii="Times New Roman" w:hAnsi="Times New Roman" w:cs="Times New Roman"/>
                <w:sz w:val="18"/>
                <w:szCs w:val="18"/>
              </w:rPr>
              <w:t>水蒸气当量空气层厚度Sd，m</w:t>
            </w:r>
          </w:p>
        </w:tc>
        <w:tc>
          <w:tcPr>
            <w:tcW w:w="1914" w:type="dxa"/>
            <w:tcBorders>
              <w:tl2br w:val="nil"/>
              <w:tr2bl w:val="nil"/>
            </w:tcBorders>
            <w:vAlign w:val="center"/>
          </w:tcPr>
          <w:p w14:paraId="48A1AC07">
            <w:pPr>
              <w:overflowPunct w:val="0"/>
              <w:jc w:val="center"/>
              <w:rPr>
                <w:rFonts w:ascii="Times New Roman" w:hAnsi="Times New Roman" w:cs="Times New Roman"/>
                <w:sz w:val="18"/>
                <w:szCs w:val="18"/>
              </w:rPr>
            </w:pPr>
            <w:r>
              <w:rPr>
                <w:rFonts w:ascii="Times New Roman" w:hAnsi="Times New Roman" w:cs="Times New Roman"/>
                <w:sz w:val="18"/>
                <w:szCs w:val="18"/>
              </w:rPr>
              <w:t>≥20.0</w:t>
            </w:r>
          </w:p>
        </w:tc>
        <w:tc>
          <w:tcPr>
            <w:tcW w:w="1914" w:type="dxa"/>
            <w:tcBorders>
              <w:tl2br w:val="nil"/>
              <w:tr2bl w:val="nil"/>
            </w:tcBorders>
            <w:vAlign w:val="center"/>
          </w:tcPr>
          <w:p w14:paraId="067797EE">
            <w:pPr>
              <w:overflowPunct w:val="0"/>
              <w:jc w:val="center"/>
              <w:rPr>
                <w:rFonts w:ascii="Times New Roman" w:hAnsi="Times New Roman" w:cs="Times New Roman"/>
                <w:sz w:val="18"/>
                <w:szCs w:val="18"/>
              </w:rPr>
            </w:pPr>
            <w:r>
              <w:rPr>
                <w:rFonts w:ascii="Times New Roman" w:hAnsi="Times New Roman" w:cs="Times New Roman"/>
                <w:sz w:val="18"/>
                <w:szCs w:val="18"/>
              </w:rPr>
              <w:t>≤5.0</w:t>
            </w:r>
          </w:p>
        </w:tc>
        <w:tc>
          <w:tcPr>
            <w:tcW w:w="1914" w:type="dxa"/>
            <w:tcBorders>
              <w:tl2br w:val="nil"/>
              <w:tr2bl w:val="nil"/>
            </w:tcBorders>
            <w:vAlign w:val="center"/>
          </w:tcPr>
          <w:p w14:paraId="70B1F20F">
            <w:pPr>
              <w:overflowPunct w:val="0"/>
              <w:jc w:val="center"/>
              <w:rPr>
                <w:rFonts w:ascii="Times New Roman" w:hAnsi="Times New Roman" w:cs="Times New Roman"/>
                <w:sz w:val="18"/>
                <w:szCs w:val="18"/>
              </w:rPr>
            </w:pPr>
            <w:r>
              <w:rPr>
                <w:rFonts w:ascii="Times New Roman" w:hAnsi="Times New Roman" w:cs="Times New Roman"/>
                <w:sz w:val="18"/>
                <w:szCs w:val="18"/>
              </w:rPr>
              <w:t>GB/T 17146</w:t>
            </w:r>
          </w:p>
        </w:tc>
      </w:tr>
      <w:tr w14:paraId="0BB86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tcBorders>
              <w:tl2br w:val="nil"/>
              <w:tr2bl w:val="nil"/>
            </w:tcBorders>
            <w:vAlign w:val="center"/>
          </w:tcPr>
          <w:p w14:paraId="6B621FBF">
            <w:pPr>
              <w:overflowPunct w:val="0"/>
              <w:jc w:val="center"/>
              <w:rPr>
                <w:rFonts w:ascii="Times New Roman" w:hAnsi="Times New Roman" w:cs="Times New Roman"/>
                <w:sz w:val="18"/>
                <w:szCs w:val="18"/>
              </w:rPr>
            </w:pPr>
            <w:r>
              <w:rPr>
                <w:rFonts w:hint="eastAsia" w:ascii="Times New Roman" w:hAnsi="Times New Roman" w:cs="Times New Roman"/>
                <w:sz w:val="18"/>
                <w:szCs w:val="18"/>
              </w:rPr>
              <w:t>透汽</w:t>
            </w:r>
            <w:r>
              <w:rPr>
                <w:rFonts w:ascii="Times New Roman" w:hAnsi="Times New Roman" w:cs="Times New Roman"/>
                <w:sz w:val="18"/>
                <w:szCs w:val="18"/>
              </w:rPr>
              <w:t>率，mm/s</w:t>
            </w:r>
          </w:p>
        </w:tc>
        <w:tc>
          <w:tcPr>
            <w:tcW w:w="3828" w:type="dxa"/>
            <w:gridSpan w:val="2"/>
            <w:tcBorders>
              <w:tl2br w:val="nil"/>
              <w:tr2bl w:val="nil"/>
            </w:tcBorders>
            <w:vAlign w:val="center"/>
          </w:tcPr>
          <w:p w14:paraId="0E454CD2">
            <w:pPr>
              <w:overflowPunct w:val="0"/>
              <w:jc w:val="center"/>
              <w:rPr>
                <w:rFonts w:ascii="Times New Roman" w:hAnsi="Times New Roman" w:cs="Times New Roman"/>
                <w:sz w:val="18"/>
                <w:szCs w:val="18"/>
              </w:rPr>
            </w:pPr>
            <w:r>
              <w:rPr>
                <w:rFonts w:ascii="Times New Roman" w:hAnsi="Times New Roman" w:cs="Times New Roman"/>
                <w:sz w:val="18"/>
                <w:szCs w:val="18"/>
              </w:rPr>
              <w:t>≤1.0</w:t>
            </w:r>
          </w:p>
        </w:tc>
        <w:tc>
          <w:tcPr>
            <w:tcW w:w="1914" w:type="dxa"/>
            <w:tcBorders>
              <w:tl2br w:val="nil"/>
              <w:tr2bl w:val="nil"/>
            </w:tcBorders>
            <w:vAlign w:val="center"/>
          </w:tcPr>
          <w:p w14:paraId="5B0F0FF4">
            <w:pPr>
              <w:overflowPunct w:val="0"/>
              <w:jc w:val="center"/>
              <w:rPr>
                <w:rFonts w:ascii="Times New Roman" w:hAnsi="Times New Roman" w:cs="Times New Roman"/>
                <w:sz w:val="18"/>
                <w:szCs w:val="18"/>
              </w:rPr>
            </w:pPr>
            <w:r>
              <w:rPr>
                <w:rFonts w:ascii="Times New Roman" w:hAnsi="Times New Roman" w:cs="Times New Roman"/>
                <w:sz w:val="18"/>
                <w:szCs w:val="18"/>
              </w:rPr>
              <w:t>GB/T 5453</w:t>
            </w:r>
          </w:p>
        </w:tc>
      </w:tr>
      <w:tr w14:paraId="52BCC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tcBorders>
              <w:tl2br w:val="nil"/>
              <w:tr2bl w:val="nil"/>
            </w:tcBorders>
            <w:vAlign w:val="center"/>
          </w:tcPr>
          <w:p w14:paraId="63614A44">
            <w:pPr>
              <w:overflowPunct w:val="0"/>
              <w:jc w:val="center"/>
              <w:rPr>
                <w:rFonts w:ascii="Times New Roman" w:hAnsi="Times New Roman" w:cs="Times New Roman"/>
                <w:sz w:val="18"/>
                <w:szCs w:val="18"/>
              </w:rPr>
            </w:pPr>
            <w:r>
              <w:rPr>
                <w:rFonts w:ascii="Times New Roman" w:hAnsi="Times New Roman" w:cs="Times New Roman"/>
                <w:sz w:val="18"/>
                <w:szCs w:val="18"/>
              </w:rPr>
              <w:t>180°剥离强度，kN/m</w:t>
            </w:r>
          </w:p>
        </w:tc>
        <w:tc>
          <w:tcPr>
            <w:tcW w:w="3828" w:type="dxa"/>
            <w:gridSpan w:val="2"/>
            <w:tcBorders>
              <w:tl2br w:val="nil"/>
              <w:tr2bl w:val="nil"/>
            </w:tcBorders>
            <w:vAlign w:val="center"/>
          </w:tcPr>
          <w:p w14:paraId="0F9981EB">
            <w:pPr>
              <w:overflowPunct w:val="0"/>
              <w:jc w:val="center"/>
              <w:rPr>
                <w:rFonts w:ascii="Times New Roman" w:hAnsi="Times New Roman" w:cs="Times New Roman"/>
                <w:sz w:val="18"/>
                <w:szCs w:val="18"/>
              </w:rPr>
            </w:pPr>
            <w:r>
              <w:rPr>
                <w:rFonts w:ascii="Times New Roman" w:hAnsi="Times New Roman" w:cs="Times New Roman"/>
                <w:sz w:val="18"/>
                <w:szCs w:val="18"/>
              </w:rPr>
              <w:t>≥0.4</w:t>
            </w:r>
          </w:p>
        </w:tc>
        <w:tc>
          <w:tcPr>
            <w:tcW w:w="1914" w:type="dxa"/>
            <w:tcBorders>
              <w:tl2br w:val="nil"/>
              <w:tr2bl w:val="nil"/>
            </w:tcBorders>
            <w:vAlign w:val="center"/>
          </w:tcPr>
          <w:p w14:paraId="69E2AE59">
            <w:pPr>
              <w:overflowPunct w:val="0"/>
              <w:jc w:val="center"/>
              <w:rPr>
                <w:rFonts w:ascii="Times New Roman" w:hAnsi="Times New Roman" w:cs="Times New Roman"/>
                <w:sz w:val="18"/>
                <w:szCs w:val="18"/>
              </w:rPr>
            </w:pPr>
            <w:r>
              <w:rPr>
                <w:rFonts w:ascii="Times New Roman" w:hAnsi="Times New Roman" w:cs="Times New Roman"/>
                <w:sz w:val="18"/>
                <w:szCs w:val="18"/>
              </w:rPr>
              <w:t>GB/T 2790</w:t>
            </w:r>
          </w:p>
        </w:tc>
      </w:tr>
    </w:tbl>
    <w:p w14:paraId="09375B95">
      <w:pPr>
        <w:pStyle w:val="258"/>
        <w:ind w:firstLine="420"/>
      </w:pPr>
      <w:bookmarkStart w:id="69" w:name="_Toc2950943"/>
    </w:p>
    <w:p w14:paraId="1299DC05">
      <w:pPr>
        <w:pStyle w:val="276"/>
        <w:numPr>
          <w:ilvl w:val="1"/>
          <w:numId w:val="59"/>
        </w:numPr>
        <w:tabs>
          <w:tab w:val="left" w:pos="360"/>
        </w:tabs>
        <w:spacing w:before="156" w:after="156"/>
      </w:pPr>
      <w:bookmarkStart w:id="70" w:name="_Toc6814"/>
      <w:r>
        <w:t>高性能门窗</w:t>
      </w:r>
      <w:bookmarkEnd w:id="69"/>
      <w:bookmarkEnd w:id="70"/>
    </w:p>
    <w:p w14:paraId="4AD3205A">
      <w:pPr>
        <w:pStyle w:val="277"/>
        <w:numPr>
          <w:ilvl w:val="2"/>
          <w:numId w:val="61"/>
        </w:numPr>
        <w:spacing w:before="0" w:beforeLines="0" w:after="0" w:afterLines="0"/>
        <w:rPr>
          <w:rFonts w:asciiTheme="minorEastAsia" w:hAnsiTheme="minorEastAsia" w:eastAsiaTheme="minorEastAsia"/>
          <w:bCs/>
          <w:szCs w:val="22"/>
        </w:rPr>
      </w:pPr>
      <w:r>
        <w:rPr>
          <w:rFonts w:hint="eastAsia" w:asciiTheme="minorEastAsia" w:hAnsiTheme="minorEastAsia" w:eastAsiaTheme="minorEastAsia"/>
          <w:bCs/>
          <w:szCs w:val="22"/>
        </w:rPr>
        <w:t>常见建筑外窗热工性能设计可参考表C.</w:t>
      </w:r>
      <w:r>
        <w:rPr>
          <w:rFonts w:hint="eastAsia" w:asciiTheme="minorEastAsia" w:hAnsiTheme="minorEastAsia" w:eastAsiaTheme="minorEastAsia"/>
          <w:bCs/>
          <w:szCs w:val="22"/>
          <w:lang w:val="en-US" w:eastAsia="zh-CN"/>
        </w:rPr>
        <w:t>2.1</w:t>
      </w:r>
      <w:r>
        <w:rPr>
          <w:rFonts w:hint="eastAsia" w:asciiTheme="minorEastAsia" w:hAnsiTheme="minorEastAsia" w:eastAsiaTheme="minorEastAsia"/>
          <w:bCs/>
          <w:szCs w:val="22"/>
        </w:rPr>
        <w:t>选用，玻璃门也可参考选用。</w:t>
      </w:r>
    </w:p>
    <w:p w14:paraId="49B0D79F">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表 C.</w:t>
      </w:r>
      <w:r>
        <w:rPr>
          <w:rFonts w:hint="eastAsia" w:ascii="黑体" w:hAnsi="黑体" w:eastAsia="黑体" w:cs="黑体"/>
          <w:color w:val="000000"/>
          <w:szCs w:val="21"/>
          <w:lang w:val="en-US" w:eastAsia="zh-CN"/>
        </w:rPr>
        <w:t>2.1</w:t>
      </w:r>
      <w:r>
        <w:rPr>
          <w:rFonts w:ascii="黑体" w:hAnsi="黑体" w:eastAsia="黑体" w:cs="黑体"/>
          <w:color w:val="000000"/>
          <w:szCs w:val="21"/>
        </w:rPr>
        <w:t xml:space="preserve">  </w:t>
      </w:r>
      <w:r>
        <w:rPr>
          <w:rFonts w:hint="eastAsia" w:ascii="黑体" w:hAnsi="黑体" w:eastAsia="黑体" w:cs="黑体"/>
          <w:color w:val="000000"/>
          <w:szCs w:val="21"/>
        </w:rPr>
        <w:t>常见建筑外窗热工性能设计表</w:t>
      </w:r>
    </w:p>
    <w:tbl>
      <w:tblPr>
        <w:tblStyle w:val="88"/>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57" w:type="dxa"/>
          <w:bottom w:w="40" w:type="dxa"/>
          <w:right w:w="57" w:type="dxa"/>
        </w:tblCellMar>
      </w:tblPr>
      <w:tblGrid>
        <w:gridCol w:w="874"/>
        <w:gridCol w:w="610"/>
        <w:gridCol w:w="2623"/>
        <w:gridCol w:w="3035"/>
        <w:gridCol w:w="1418"/>
        <w:gridCol w:w="1192"/>
      </w:tblGrid>
      <w:tr w14:paraId="2E83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tblHeader/>
          <w:jc w:val="center"/>
        </w:trPr>
        <w:tc>
          <w:tcPr>
            <w:tcW w:w="874" w:type="dxa"/>
            <w:shd w:val="clear" w:color="auto" w:fill="auto"/>
            <w:vAlign w:val="center"/>
          </w:tcPr>
          <w:p w14:paraId="48F1523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窗户类型</w:t>
            </w:r>
          </w:p>
        </w:tc>
        <w:tc>
          <w:tcPr>
            <w:tcW w:w="610" w:type="dxa"/>
            <w:shd w:val="clear" w:color="auto" w:fill="auto"/>
            <w:noWrap/>
            <w:vAlign w:val="center"/>
          </w:tcPr>
          <w:p w14:paraId="74878EF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序号</w:t>
            </w:r>
          </w:p>
        </w:tc>
        <w:tc>
          <w:tcPr>
            <w:tcW w:w="2623" w:type="dxa"/>
            <w:shd w:val="clear" w:color="auto" w:fill="auto"/>
            <w:noWrap/>
            <w:vAlign w:val="center"/>
          </w:tcPr>
          <w:p w14:paraId="1E2D896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名称</w:t>
            </w:r>
          </w:p>
        </w:tc>
        <w:tc>
          <w:tcPr>
            <w:tcW w:w="3035" w:type="dxa"/>
            <w:shd w:val="clear" w:color="auto" w:fill="auto"/>
            <w:noWrap/>
            <w:vAlign w:val="center"/>
          </w:tcPr>
          <w:p w14:paraId="2C6C5DD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玻璃配置</w:t>
            </w:r>
          </w:p>
        </w:tc>
        <w:tc>
          <w:tcPr>
            <w:tcW w:w="1418" w:type="dxa"/>
            <w:shd w:val="clear" w:color="auto" w:fill="auto"/>
            <w:vAlign w:val="center"/>
          </w:tcPr>
          <w:p w14:paraId="3007FE4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传热系数K</w:t>
            </w:r>
          </w:p>
          <w:p w14:paraId="7650F628">
            <w:pPr>
              <w:widowControl/>
              <w:overflowPunct w:val="0"/>
              <w:adjustRightInd w:val="0"/>
              <w:snapToGrid w:val="0"/>
              <w:jc w:val="center"/>
              <w:rPr>
                <w:rFonts w:ascii="Times New Roman" w:hAnsi="Times New Roman" w:cs="Times New Roman"/>
                <w:kern w:val="0"/>
                <w:sz w:val="18"/>
                <w:szCs w:val="18"/>
              </w:rPr>
            </w:pPr>
            <w:r>
              <w:rPr>
                <w:rFonts w:hint="eastAsia" w:ascii="宋体" w:hAnsi="宋体" w:eastAsia="宋体" w:cs="宋体"/>
                <w:kern w:val="0"/>
                <w:sz w:val="18"/>
                <w:szCs w:val="18"/>
              </w:rPr>
              <w:t>[</w:t>
            </w:r>
            <w:r>
              <w:rPr>
                <w:rFonts w:ascii="Times New Roman" w:hAnsi="Times New Roman" w:cs="Times New Roman"/>
                <w:kern w:val="0"/>
                <w:sz w:val="18"/>
                <w:szCs w:val="18"/>
              </w:rPr>
              <w:t>W/（㎡·K）</w:t>
            </w:r>
            <w:r>
              <w:rPr>
                <w:rFonts w:hint="eastAsia" w:ascii="宋体" w:hAnsi="宋体" w:eastAsia="宋体" w:cs="宋体"/>
                <w:kern w:val="0"/>
                <w:sz w:val="18"/>
                <w:szCs w:val="18"/>
              </w:rPr>
              <w:t>]</w:t>
            </w:r>
          </w:p>
        </w:tc>
        <w:tc>
          <w:tcPr>
            <w:tcW w:w="1192" w:type="dxa"/>
            <w:shd w:val="clear" w:color="auto" w:fill="auto"/>
            <w:noWrap/>
            <w:vAlign w:val="center"/>
          </w:tcPr>
          <w:p w14:paraId="17744B37">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得热</w:t>
            </w:r>
            <w:r>
              <w:rPr>
                <w:rFonts w:ascii="Times New Roman" w:hAnsi="Times New Roman" w:cs="Times New Roman"/>
                <w:kern w:val="0"/>
                <w:sz w:val="18"/>
                <w:szCs w:val="18"/>
              </w:rPr>
              <w:t>系数</w:t>
            </w:r>
          </w:p>
          <w:p w14:paraId="0D5901C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S</w:t>
            </w:r>
            <w:r>
              <w:rPr>
                <w:rFonts w:ascii="Times New Roman" w:hAnsi="Times New Roman" w:cs="Times New Roman"/>
                <w:kern w:val="0"/>
                <w:sz w:val="18"/>
                <w:szCs w:val="18"/>
              </w:rPr>
              <w:t>HGC</w:t>
            </w:r>
          </w:p>
        </w:tc>
      </w:tr>
      <w:tr w14:paraId="73FD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shd w:val="clear" w:color="auto" w:fill="auto"/>
            <w:vAlign w:val="center"/>
          </w:tcPr>
          <w:p w14:paraId="31CDAC3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隔</w:t>
            </w:r>
          </w:p>
          <w:p w14:paraId="0CCD465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热</w:t>
            </w:r>
          </w:p>
          <w:p w14:paraId="6666B38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铝</w:t>
            </w:r>
          </w:p>
          <w:p w14:paraId="3F64DC2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合</w:t>
            </w:r>
          </w:p>
          <w:p w14:paraId="138B2E8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金</w:t>
            </w:r>
          </w:p>
          <w:p w14:paraId="73DA6B3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窗</w:t>
            </w:r>
          </w:p>
        </w:tc>
        <w:tc>
          <w:tcPr>
            <w:tcW w:w="610" w:type="dxa"/>
            <w:shd w:val="clear" w:color="auto" w:fill="auto"/>
            <w:noWrap/>
            <w:vAlign w:val="center"/>
          </w:tcPr>
          <w:p w14:paraId="3A687C3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p>
        </w:tc>
        <w:tc>
          <w:tcPr>
            <w:tcW w:w="2623" w:type="dxa"/>
            <w:vMerge w:val="restart"/>
            <w:shd w:val="clear" w:color="auto" w:fill="auto"/>
            <w:vAlign w:val="center"/>
          </w:tcPr>
          <w:p w14:paraId="7978982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70系列内平开隔热铝合金窗</w:t>
            </w:r>
          </w:p>
        </w:tc>
        <w:tc>
          <w:tcPr>
            <w:tcW w:w="3035" w:type="dxa"/>
            <w:shd w:val="clear" w:color="auto" w:fill="auto"/>
            <w:vAlign w:val="center"/>
          </w:tcPr>
          <w:p w14:paraId="2F60709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双银</w:t>
            </w:r>
            <w:r>
              <w:rPr>
                <w:rFonts w:ascii="Times New Roman" w:hAnsi="Times New Roman" w:cs="Times New Roman"/>
                <w:kern w:val="0"/>
                <w:sz w:val="18"/>
                <w:szCs w:val="18"/>
              </w:rPr>
              <w:t>+12A+6</w:t>
            </w:r>
          </w:p>
        </w:tc>
        <w:tc>
          <w:tcPr>
            <w:tcW w:w="1418" w:type="dxa"/>
            <w:shd w:val="clear" w:color="auto" w:fill="auto"/>
            <w:vAlign w:val="center"/>
          </w:tcPr>
          <w:p w14:paraId="3F6B4AE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2.0</w:t>
            </w:r>
          </w:p>
        </w:tc>
        <w:tc>
          <w:tcPr>
            <w:tcW w:w="1192" w:type="dxa"/>
            <w:shd w:val="clear" w:color="auto" w:fill="auto"/>
            <w:vAlign w:val="center"/>
          </w:tcPr>
          <w:p w14:paraId="29022410">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0.25</w:t>
            </w:r>
            <w:r>
              <w:rPr>
                <w:rFonts w:ascii="Times New Roman" w:hAnsi="Times New Roman" w:cs="Times New Roman"/>
                <w:kern w:val="0"/>
                <w:sz w:val="18"/>
                <w:szCs w:val="18"/>
              </w:rPr>
              <w:t>~0.</w:t>
            </w:r>
            <w:r>
              <w:rPr>
                <w:rFonts w:hint="eastAsia" w:ascii="Times New Roman" w:hAnsi="Times New Roman" w:cs="Times New Roman"/>
                <w:kern w:val="0"/>
                <w:sz w:val="18"/>
                <w:szCs w:val="18"/>
              </w:rPr>
              <w:t>28</w:t>
            </w:r>
          </w:p>
        </w:tc>
      </w:tr>
      <w:tr w14:paraId="3A31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6E3BBE2">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8D6E04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2623" w:type="dxa"/>
            <w:vMerge w:val="continue"/>
            <w:shd w:val="clear" w:color="auto" w:fill="auto"/>
            <w:vAlign w:val="center"/>
          </w:tcPr>
          <w:p w14:paraId="5376ABF8">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0DB60B5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双银</w:t>
            </w:r>
            <w:r>
              <w:rPr>
                <w:rFonts w:ascii="Times New Roman" w:hAnsi="Times New Roman" w:cs="Times New Roman"/>
                <w:kern w:val="0"/>
                <w:sz w:val="18"/>
                <w:szCs w:val="18"/>
              </w:rPr>
              <w:t>+12Ar+6</w:t>
            </w:r>
          </w:p>
        </w:tc>
        <w:tc>
          <w:tcPr>
            <w:tcW w:w="1418" w:type="dxa"/>
            <w:shd w:val="clear" w:color="auto" w:fill="auto"/>
            <w:vAlign w:val="center"/>
          </w:tcPr>
          <w:p w14:paraId="1565EDE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1.8</w:t>
            </w:r>
          </w:p>
        </w:tc>
        <w:tc>
          <w:tcPr>
            <w:tcW w:w="1192" w:type="dxa"/>
            <w:shd w:val="clear" w:color="auto" w:fill="auto"/>
            <w:vAlign w:val="center"/>
          </w:tcPr>
          <w:p w14:paraId="11BB4E5E">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0.25</w:t>
            </w:r>
            <w:r>
              <w:rPr>
                <w:rFonts w:ascii="Times New Roman" w:hAnsi="Times New Roman" w:cs="Times New Roman"/>
                <w:kern w:val="0"/>
                <w:sz w:val="18"/>
                <w:szCs w:val="18"/>
              </w:rPr>
              <w:t>~0.</w:t>
            </w:r>
            <w:r>
              <w:rPr>
                <w:rFonts w:hint="eastAsia" w:ascii="Times New Roman" w:hAnsi="Times New Roman" w:cs="Times New Roman"/>
                <w:kern w:val="0"/>
                <w:sz w:val="18"/>
                <w:szCs w:val="18"/>
              </w:rPr>
              <w:t>28</w:t>
            </w:r>
          </w:p>
        </w:tc>
      </w:tr>
      <w:tr w14:paraId="48A2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A542DE9">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B86D84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2623" w:type="dxa"/>
            <w:vMerge w:val="continue"/>
            <w:shd w:val="clear" w:color="auto" w:fill="auto"/>
            <w:vAlign w:val="center"/>
          </w:tcPr>
          <w:p w14:paraId="1E797FC5">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315ADA4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6+12A+6+12A+6Low-E</w:t>
            </w:r>
          </w:p>
        </w:tc>
        <w:tc>
          <w:tcPr>
            <w:tcW w:w="1418" w:type="dxa"/>
            <w:shd w:val="clear" w:color="auto" w:fill="auto"/>
            <w:vAlign w:val="center"/>
          </w:tcPr>
          <w:p w14:paraId="3031CF1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1.8~2.0</w:t>
            </w:r>
          </w:p>
        </w:tc>
        <w:tc>
          <w:tcPr>
            <w:tcW w:w="1192" w:type="dxa"/>
            <w:shd w:val="clear" w:color="auto" w:fill="auto"/>
            <w:vAlign w:val="center"/>
          </w:tcPr>
          <w:p w14:paraId="2C2D412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4FC0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67FD30F">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E18816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2623" w:type="dxa"/>
            <w:vMerge w:val="continue"/>
            <w:shd w:val="clear" w:color="auto" w:fill="auto"/>
            <w:vAlign w:val="center"/>
          </w:tcPr>
          <w:p w14:paraId="035684CE">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4C4E8D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50CA71B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1.7~1.9</w:t>
            </w:r>
          </w:p>
        </w:tc>
        <w:tc>
          <w:tcPr>
            <w:tcW w:w="1192" w:type="dxa"/>
            <w:shd w:val="clear" w:color="auto" w:fill="auto"/>
            <w:vAlign w:val="center"/>
          </w:tcPr>
          <w:p w14:paraId="3EBAAB2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0.3~0.37</w:t>
            </w:r>
          </w:p>
        </w:tc>
      </w:tr>
      <w:tr w14:paraId="1220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03768C07">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24FF2CB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2623" w:type="dxa"/>
            <w:vMerge w:val="continue"/>
            <w:shd w:val="clear" w:color="auto" w:fill="auto"/>
            <w:vAlign w:val="center"/>
          </w:tcPr>
          <w:p w14:paraId="00B81451">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1B15C31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6+12A+6Low-E+12A+6Low-E</w:t>
            </w:r>
          </w:p>
        </w:tc>
        <w:tc>
          <w:tcPr>
            <w:tcW w:w="1418" w:type="dxa"/>
            <w:shd w:val="clear" w:color="auto" w:fill="auto"/>
            <w:vAlign w:val="center"/>
          </w:tcPr>
          <w:p w14:paraId="11EF3F4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1.6~1.8</w:t>
            </w:r>
          </w:p>
        </w:tc>
        <w:tc>
          <w:tcPr>
            <w:tcW w:w="1192" w:type="dxa"/>
            <w:shd w:val="clear" w:color="auto" w:fill="auto"/>
            <w:vAlign w:val="center"/>
          </w:tcPr>
          <w:p w14:paraId="316BDAE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2EC5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0C69A16">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01A4EF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2623" w:type="dxa"/>
            <w:vMerge w:val="continue"/>
            <w:shd w:val="clear" w:color="auto" w:fill="auto"/>
            <w:vAlign w:val="center"/>
          </w:tcPr>
          <w:p w14:paraId="737D1749">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39B5FB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6+12Ar+6Low-E+12Ar+6Low-E</w:t>
            </w:r>
          </w:p>
        </w:tc>
        <w:tc>
          <w:tcPr>
            <w:tcW w:w="1418" w:type="dxa"/>
            <w:shd w:val="clear" w:color="auto" w:fill="auto"/>
            <w:vAlign w:val="center"/>
          </w:tcPr>
          <w:p w14:paraId="457D416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1.5~1.7</w:t>
            </w:r>
          </w:p>
        </w:tc>
        <w:tc>
          <w:tcPr>
            <w:tcW w:w="1192" w:type="dxa"/>
            <w:shd w:val="clear" w:color="auto" w:fill="auto"/>
            <w:vAlign w:val="center"/>
          </w:tcPr>
          <w:p w14:paraId="419F8C8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1FB3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40D29B8">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A9F87C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w:t>
            </w:r>
          </w:p>
        </w:tc>
        <w:tc>
          <w:tcPr>
            <w:tcW w:w="2623" w:type="dxa"/>
            <w:shd w:val="clear" w:color="auto" w:fill="auto"/>
            <w:vAlign w:val="center"/>
          </w:tcPr>
          <w:p w14:paraId="5E50C45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w:t>
            </w:r>
            <w:r>
              <w:rPr>
                <w:rFonts w:hint="eastAsia" w:ascii="Times New Roman" w:hAnsi="Times New Roman" w:cs="Times New Roman"/>
                <w:kern w:val="0"/>
                <w:sz w:val="18"/>
                <w:szCs w:val="18"/>
              </w:rPr>
              <w:t>5</w:t>
            </w:r>
            <w:r>
              <w:rPr>
                <w:rFonts w:ascii="Times New Roman" w:hAnsi="Times New Roman" w:cs="Times New Roman"/>
                <w:kern w:val="0"/>
                <w:sz w:val="18"/>
                <w:szCs w:val="18"/>
              </w:rPr>
              <w:t>系列内平开隔热铝合金窗</w:t>
            </w:r>
          </w:p>
        </w:tc>
        <w:tc>
          <w:tcPr>
            <w:tcW w:w="3035" w:type="dxa"/>
            <w:shd w:val="clear" w:color="auto" w:fill="auto"/>
            <w:vAlign w:val="center"/>
          </w:tcPr>
          <w:p w14:paraId="3BCC07B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双银</w:t>
            </w:r>
            <w:r>
              <w:rPr>
                <w:rFonts w:ascii="Times New Roman" w:hAnsi="Times New Roman" w:cs="Times New Roman"/>
                <w:kern w:val="0"/>
                <w:sz w:val="18"/>
                <w:szCs w:val="18"/>
              </w:rPr>
              <w:t>+12Ar+6+12Ar+6</w:t>
            </w:r>
          </w:p>
        </w:tc>
        <w:tc>
          <w:tcPr>
            <w:tcW w:w="1418" w:type="dxa"/>
            <w:shd w:val="clear" w:color="auto" w:fill="auto"/>
            <w:vAlign w:val="center"/>
          </w:tcPr>
          <w:p w14:paraId="142EA8A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1.5</w:t>
            </w:r>
          </w:p>
        </w:tc>
        <w:tc>
          <w:tcPr>
            <w:tcW w:w="1192" w:type="dxa"/>
            <w:shd w:val="clear" w:color="auto" w:fill="auto"/>
            <w:vAlign w:val="center"/>
          </w:tcPr>
          <w:p w14:paraId="793CB3B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w:t>
            </w:r>
            <w:r>
              <w:rPr>
                <w:rFonts w:hint="eastAsia" w:ascii="Times New Roman" w:hAnsi="Times New Roman" w:cs="Times New Roman"/>
                <w:kern w:val="0"/>
                <w:sz w:val="18"/>
                <w:szCs w:val="18"/>
              </w:rPr>
              <w:t>4</w:t>
            </w:r>
          </w:p>
        </w:tc>
      </w:tr>
      <w:tr w14:paraId="3366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CB6FAF2">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7A21A2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8</w:t>
            </w:r>
          </w:p>
        </w:tc>
        <w:tc>
          <w:tcPr>
            <w:tcW w:w="2623" w:type="dxa"/>
            <w:shd w:val="clear" w:color="auto" w:fill="auto"/>
            <w:vAlign w:val="center"/>
          </w:tcPr>
          <w:p w14:paraId="0CAE3DA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80系列内平开隔热铝合金窗</w:t>
            </w:r>
          </w:p>
        </w:tc>
        <w:tc>
          <w:tcPr>
            <w:tcW w:w="3035" w:type="dxa"/>
            <w:shd w:val="clear" w:color="auto" w:fill="auto"/>
            <w:vAlign w:val="center"/>
          </w:tcPr>
          <w:p w14:paraId="24DD5F9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09963F5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1.3~1.5</w:t>
            </w:r>
          </w:p>
        </w:tc>
        <w:tc>
          <w:tcPr>
            <w:tcW w:w="1192" w:type="dxa"/>
            <w:shd w:val="clear" w:color="auto" w:fill="auto"/>
            <w:vAlign w:val="center"/>
          </w:tcPr>
          <w:p w14:paraId="69DD1B5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2F2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F04114A">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6516AF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9</w:t>
            </w:r>
          </w:p>
        </w:tc>
        <w:tc>
          <w:tcPr>
            <w:tcW w:w="2623" w:type="dxa"/>
            <w:shd w:val="clear" w:color="auto" w:fill="auto"/>
            <w:vAlign w:val="center"/>
          </w:tcPr>
          <w:p w14:paraId="0954376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80系列内平开隔热铝合金窗</w:t>
            </w:r>
          </w:p>
        </w:tc>
        <w:tc>
          <w:tcPr>
            <w:tcW w:w="3035" w:type="dxa"/>
            <w:shd w:val="clear" w:color="auto" w:fill="auto"/>
            <w:vAlign w:val="center"/>
          </w:tcPr>
          <w:p w14:paraId="02C6FBD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6+12Ar+6Low-E+12Ar+6Low-E</w:t>
            </w:r>
          </w:p>
        </w:tc>
        <w:tc>
          <w:tcPr>
            <w:tcW w:w="1418" w:type="dxa"/>
            <w:shd w:val="clear" w:color="auto" w:fill="auto"/>
            <w:vAlign w:val="center"/>
          </w:tcPr>
          <w:p w14:paraId="7A3F6A5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1.1~1.3</w:t>
            </w:r>
          </w:p>
        </w:tc>
        <w:tc>
          <w:tcPr>
            <w:tcW w:w="1192" w:type="dxa"/>
            <w:shd w:val="clear" w:color="auto" w:fill="auto"/>
            <w:vAlign w:val="center"/>
          </w:tcPr>
          <w:p w14:paraId="6E2D687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111E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shd w:val="clear" w:color="auto" w:fill="auto"/>
            <w:vAlign w:val="center"/>
          </w:tcPr>
          <w:p w14:paraId="7AE3A11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塑</w:t>
            </w:r>
          </w:p>
          <w:p w14:paraId="04B0484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料</w:t>
            </w:r>
          </w:p>
          <w:p w14:paraId="3F01B02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窗</w:t>
            </w:r>
          </w:p>
        </w:tc>
        <w:tc>
          <w:tcPr>
            <w:tcW w:w="610" w:type="dxa"/>
            <w:shd w:val="clear" w:color="auto" w:fill="auto"/>
            <w:noWrap/>
            <w:vAlign w:val="center"/>
          </w:tcPr>
          <w:p w14:paraId="70C803F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2623" w:type="dxa"/>
            <w:vMerge w:val="restart"/>
            <w:shd w:val="clear" w:color="auto" w:fill="auto"/>
            <w:vAlign w:val="center"/>
          </w:tcPr>
          <w:p w14:paraId="275F347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65系列内平开塑料窗</w:t>
            </w:r>
          </w:p>
        </w:tc>
        <w:tc>
          <w:tcPr>
            <w:tcW w:w="3035" w:type="dxa"/>
            <w:shd w:val="clear" w:color="auto" w:fill="auto"/>
            <w:vAlign w:val="center"/>
          </w:tcPr>
          <w:p w14:paraId="0D7C0AF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w:t>
            </w:r>
          </w:p>
        </w:tc>
        <w:tc>
          <w:tcPr>
            <w:tcW w:w="1418" w:type="dxa"/>
            <w:shd w:val="clear" w:color="auto" w:fill="auto"/>
            <w:vAlign w:val="center"/>
          </w:tcPr>
          <w:p w14:paraId="6A68705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1.8~2.0</w:t>
            </w:r>
          </w:p>
        </w:tc>
        <w:tc>
          <w:tcPr>
            <w:tcW w:w="1192" w:type="dxa"/>
            <w:shd w:val="clear" w:color="auto" w:fill="auto"/>
            <w:vAlign w:val="center"/>
          </w:tcPr>
          <w:p w14:paraId="615CA5F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0EFC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7310380">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D216AF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2623" w:type="dxa"/>
            <w:vMerge w:val="continue"/>
            <w:shd w:val="clear" w:color="auto" w:fill="auto"/>
            <w:vAlign w:val="center"/>
          </w:tcPr>
          <w:p w14:paraId="103B8B5E">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6CEF581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+12A+6</w:t>
            </w:r>
          </w:p>
        </w:tc>
        <w:tc>
          <w:tcPr>
            <w:tcW w:w="1418" w:type="dxa"/>
            <w:shd w:val="clear" w:color="auto" w:fill="auto"/>
            <w:vAlign w:val="center"/>
          </w:tcPr>
          <w:p w14:paraId="3DF9DB1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2.0</w:t>
            </w:r>
          </w:p>
        </w:tc>
        <w:tc>
          <w:tcPr>
            <w:tcW w:w="1192" w:type="dxa"/>
            <w:shd w:val="clear" w:color="auto" w:fill="auto"/>
            <w:vAlign w:val="center"/>
          </w:tcPr>
          <w:p w14:paraId="5DE8600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71FB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5968458">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992985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2623" w:type="dxa"/>
            <w:vMerge w:val="continue"/>
            <w:shd w:val="clear" w:color="auto" w:fill="auto"/>
            <w:vAlign w:val="center"/>
          </w:tcPr>
          <w:p w14:paraId="328ED171">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6B417E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+12Ar+6</w:t>
            </w:r>
          </w:p>
        </w:tc>
        <w:tc>
          <w:tcPr>
            <w:tcW w:w="1418" w:type="dxa"/>
            <w:shd w:val="clear" w:color="auto" w:fill="auto"/>
            <w:vAlign w:val="center"/>
          </w:tcPr>
          <w:p w14:paraId="6F933203">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1.8</w:t>
            </w:r>
          </w:p>
        </w:tc>
        <w:tc>
          <w:tcPr>
            <w:tcW w:w="1192" w:type="dxa"/>
            <w:shd w:val="clear" w:color="auto" w:fill="auto"/>
            <w:vAlign w:val="center"/>
          </w:tcPr>
          <w:p w14:paraId="51679D1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2C2B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0B6918F">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4519549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2623" w:type="dxa"/>
            <w:vMerge w:val="continue"/>
            <w:shd w:val="clear" w:color="auto" w:fill="auto"/>
            <w:vAlign w:val="center"/>
          </w:tcPr>
          <w:p w14:paraId="50BCAE2A">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55566B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6+12A+6+12A+6Low-E</w:t>
            </w:r>
          </w:p>
        </w:tc>
        <w:tc>
          <w:tcPr>
            <w:tcW w:w="1418" w:type="dxa"/>
            <w:shd w:val="clear" w:color="auto" w:fill="auto"/>
            <w:vAlign w:val="center"/>
          </w:tcPr>
          <w:p w14:paraId="5251806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1.4~1.6</w:t>
            </w:r>
          </w:p>
        </w:tc>
        <w:tc>
          <w:tcPr>
            <w:tcW w:w="1192" w:type="dxa"/>
            <w:shd w:val="clear" w:color="auto" w:fill="auto"/>
            <w:vAlign w:val="center"/>
          </w:tcPr>
          <w:p w14:paraId="074F986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7AD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0679446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221FAC2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2623" w:type="dxa"/>
            <w:vMerge w:val="continue"/>
            <w:shd w:val="clear" w:color="auto" w:fill="auto"/>
            <w:vAlign w:val="center"/>
          </w:tcPr>
          <w:p w14:paraId="4A16887F">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C5C07C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6D56D81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1.3~1.5</w:t>
            </w:r>
          </w:p>
        </w:tc>
        <w:tc>
          <w:tcPr>
            <w:tcW w:w="1192" w:type="dxa"/>
            <w:shd w:val="clear" w:color="auto" w:fill="auto"/>
            <w:vAlign w:val="center"/>
          </w:tcPr>
          <w:p w14:paraId="1A3412F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0F7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60F15E4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C78226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2623" w:type="dxa"/>
            <w:vMerge w:val="continue"/>
            <w:shd w:val="clear" w:color="auto" w:fill="auto"/>
            <w:vAlign w:val="center"/>
          </w:tcPr>
          <w:p w14:paraId="7C6692B7">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283818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6+12A+6Low-E+12A+6Low-E</w:t>
            </w:r>
          </w:p>
        </w:tc>
        <w:tc>
          <w:tcPr>
            <w:tcW w:w="1418" w:type="dxa"/>
            <w:shd w:val="clear" w:color="auto" w:fill="auto"/>
            <w:vAlign w:val="center"/>
          </w:tcPr>
          <w:p w14:paraId="6C4DC47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1.2~1.4</w:t>
            </w:r>
          </w:p>
        </w:tc>
        <w:tc>
          <w:tcPr>
            <w:tcW w:w="1192" w:type="dxa"/>
            <w:shd w:val="clear" w:color="auto" w:fill="auto"/>
            <w:vAlign w:val="center"/>
          </w:tcPr>
          <w:p w14:paraId="3185FFA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22A4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67AC0B9">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59583F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w:t>
            </w:r>
          </w:p>
        </w:tc>
        <w:tc>
          <w:tcPr>
            <w:tcW w:w="2623" w:type="dxa"/>
            <w:vMerge w:val="continue"/>
            <w:shd w:val="clear" w:color="auto" w:fill="auto"/>
            <w:vAlign w:val="center"/>
          </w:tcPr>
          <w:p w14:paraId="6CB082CC">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0FD2244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6+12Ar+6Low-E+12Ar+6Low-E</w:t>
            </w:r>
          </w:p>
        </w:tc>
        <w:tc>
          <w:tcPr>
            <w:tcW w:w="1418" w:type="dxa"/>
            <w:shd w:val="clear" w:color="auto" w:fill="auto"/>
            <w:vAlign w:val="center"/>
          </w:tcPr>
          <w:p w14:paraId="641A5F9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1.1~1.3</w:t>
            </w:r>
          </w:p>
        </w:tc>
        <w:tc>
          <w:tcPr>
            <w:tcW w:w="1192" w:type="dxa"/>
            <w:shd w:val="clear" w:color="auto" w:fill="auto"/>
            <w:vAlign w:val="center"/>
          </w:tcPr>
          <w:p w14:paraId="436617A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28C3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C7C5862">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833C84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8</w:t>
            </w:r>
          </w:p>
        </w:tc>
        <w:tc>
          <w:tcPr>
            <w:tcW w:w="2623" w:type="dxa"/>
            <w:vMerge w:val="restart"/>
            <w:shd w:val="clear" w:color="auto" w:fill="auto"/>
            <w:vAlign w:val="center"/>
          </w:tcPr>
          <w:p w14:paraId="0AC0F53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70</w:t>
            </w:r>
            <w:r>
              <w:rPr>
                <w:rFonts w:ascii="Times New Roman" w:hAnsi="Times New Roman" w:cs="Times New Roman"/>
                <w:kern w:val="0"/>
                <w:sz w:val="18"/>
                <w:szCs w:val="18"/>
              </w:rPr>
              <w:t>系列内平开塑料窗</w:t>
            </w:r>
          </w:p>
        </w:tc>
        <w:tc>
          <w:tcPr>
            <w:tcW w:w="3035" w:type="dxa"/>
            <w:shd w:val="clear" w:color="auto" w:fill="auto"/>
            <w:vAlign w:val="center"/>
          </w:tcPr>
          <w:p w14:paraId="57377AF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+12Ar+6</w:t>
            </w:r>
          </w:p>
        </w:tc>
        <w:tc>
          <w:tcPr>
            <w:tcW w:w="1418" w:type="dxa"/>
            <w:shd w:val="clear" w:color="auto" w:fill="auto"/>
            <w:vAlign w:val="center"/>
          </w:tcPr>
          <w:p w14:paraId="36E560C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1.8</w:t>
            </w:r>
          </w:p>
        </w:tc>
        <w:tc>
          <w:tcPr>
            <w:tcW w:w="1192" w:type="dxa"/>
            <w:shd w:val="clear" w:color="auto" w:fill="auto"/>
            <w:vAlign w:val="center"/>
          </w:tcPr>
          <w:p w14:paraId="7B556A7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69CE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62537C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091C3C3">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9</w:t>
            </w:r>
          </w:p>
        </w:tc>
        <w:tc>
          <w:tcPr>
            <w:tcW w:w="2623" w:type="dxa"/>
            <w:vMerge w:val="continue"/>
            <w:shd w:val="clear" w:color="auto" w:fill="auto"/>
            <w:vAlign w:val="center"/>
          </w:tcPr>
          <w:p w14:paraId="6D5709B2">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7BA2BD5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+12A+6+12A+6</w:t>
            </w:r>
          </w:p>
        </w:tc>
        <w:tc>
          <w:tcPr>
            <w:tcW w:w="1418" w:type="dxa"/>
            <w:shd w:val="clear" w:color="auto" w:fill="auto"/>
            <w:vAlign w:val="center"/>
          </w:tcPr>
          <w:p w14:paraId="37C3A0F9">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1.6</w:t>
            </w:r>
          </w:p>
        </w:tc>
        <w:tc>
          <w:tcPr>
            <w:tcW w:w="1192" w:type="dxa"/>
            <w:shd w:val="clear" w:color="auto" w:fill="auto"/>
            <w:vAlign w:val="center"/>
          </w:tcPr>
          <w:p w14:paraId="6270379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52B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1419C0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25776007">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10</w:t>
            </w:r>
          </w:p>
        </w:tc>
        <w:tc>
          <w:tcPr>
            <w:tcW w:w="2623" w:type="dxa"/>
            <w:vMerge w:val="continue"/>
            <w:shd w:val="clear" w:color="auto" w:fill="auto"/>
            <w:vAlign w:val="center"/>
          </w:tcPr>
          <w:p w14:paraId="1AC91ED7">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2D717E0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w:t>
            </w:r>
            <w:r>
              <w:rPr>
                <w:rFonts w:hint="eastAsia" w:ascii="Times New Roman" w:hAnsi="Times New Roman" w:cs="Times New Roman"/>
                <w:kern w:val="0"/>
                <w:sz w:val="18"/>
                <w:szCs w:val="18"/>
              </w:rPr>
              <w:t>9</w:t>
            </w:r>
            <w:r>
              <w:rPr>
                <w:rFonts w:ascii="Times New Roman" w:hAnsi="Times New Roman" w:cs="Times New Roman"/>
                <w:kern w:val="0"/>
                <w:sz w:val="18"/>
                <w:szCs w:val="18"/>
              </w:rPr>
              <w:t>A</w:t>
            </w:r>
            <w:r>
              <w:rPr>
                <w:rFonts w:hint="eastAsia" w:ascii="Times New Roman" w:hAnsi="Times New Roman" w:cs="Times New Roman"/>
                <w:kern w:val="0"/>
                <w:sz w:val="18"/>
                <w:szCs w:val="18"/>
              </w:rPr>
              <w:t>r</w:t>
            </w:r>
            <w:r>
              <w:rPr>
                <w:rFonts w:ascii="Times New Roman" w:hAnsi="Times New Roman" w:cs="Times New Roman"/>
                <w:kern w:val="0"/>
                <w:sz w:val="18"/>
                <w:szCs w:val="18"/>
              </w:rPr>
              <w:t>+6+</w:t>
            </w:r>
            <w:r>
              <w:rPr>
                <w:rFonts w:hint="eastAsia" w:ascii="Times New Roman" w:hAnsi="Times New Roman" w:cs="Times New Roman"/>
                <w:kern w:val="0"/>
                <w:sz w:val="18"/>
                <w:szCs w:val="18"/>
              </w:rPr>
              <w:t>9</w:t>
            </w:r>
            <w:r>
              <w:rPr>
                <w:rFonts w:ascii="Times New Roman" w:hAnsi="Times New Roman" w:cs="Times New Roman"/>
                <w:kern w:val="0"/>
                <w:sz w:val="18"/>
                <w:szCs w:val="18"/>
              </w:rPr>
              <w:t>A</w:t>
            </w:r>
            <w:r>
              <w:rPr>
                <w:rFonts w:hint="eastAsia" w:ascii="Times New Roman" w:hAnsi="Times New Roman" w:cs="Times New Roman"/>
                <w:kern w:val="0"/>
                <w:sz w:val="18"/>
                <w:szCs w:val="18"/>
              </w:rPr>
              <w:t>r</w:t>
            </w:r>
            <w:r>
              <w:rPr>
                <w:rFonts w:ascii="Times New Roman" w:hAnsi="Times New Roman" w:cs="Times New Roman"/>
                <w:kern w:val="0"/>
                <w:sz w:val="18"/>
                <w:szCs w:val="18"/>
              </w:rPr>
              <w:t>+6</w:t>
            </w:r>
          </w:p>
        </w:tc>
        <w:tc>
          <w:tcPr>
            <w:tcW w:w="1418" w:type="dxa"/>
            <w:shd w:val="clear" w:color="auto" w:fill="auto"/>
            <w:vAlign w:val="center"/>
          </w:tcPr>
          <w:p w14:paraId="035F043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1.6</w:t>
            </w:r>
          </w:p>
        </w:tc>
        <w:tc>
          <w:tcPr>
            <w:tcW w:w="1192" w:type="dxa"/>
            <w:shd w:val="clear" w:color="auto" w:fill="auto"/>
            <w:vAlign w:val="center"/>
          </w:tcPr>
          <w:p w14:paraId="4DF6387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29A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8620135">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EDB89D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11</w:t>
            </w:r>
          </w:p>
        </w:tc>
        <w:tc>
          <w:tcPr>
            <w:tcW w:w="2623" w:type="dxa"/>
            <w:shd w:val="clear" w:color="auto" w:fill="auto"/>
            <w:vAlign w:val="center"/>
          </w:tcPr>
          <w:p w14:paraId="7792624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82系列内平开塑料窗</w:t>
            </w:r>
          </w:p>
        </w:tc>
        <w:tc>
          <w:tcPr>
            <w:tcW w:w="3035" w:type="dxa"/>
            <w:shd w:val="clear" w:color="auto" w:fill="auto"/>
            <w:vAlign w:val="center"/>
          </w:tcPr>
          <w:p w14:paraId="607F4CC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731519F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1.0~1.2</w:t>
            </w:r>
          </w:p>
        </w:tc>
        <w:tc>
          <w:tcPr>
            <w:tcW w:w="1192" w:type="dxa"/>
            <w:shd w:val="clear" w:color="auto" w:fill="auto"/>
            <w:vAlign w:val="center"/>
          </w:tcPr>
          <w:p w14:paraId="746D435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9F0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shd w:val="clear" w:color="auto" w:fill="auto"/>
            <w:vAlign w:val="center"/>
          </w:tcPr>
          <w:p w14:paraId="5F58407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木</w:t>
            </w:r>
          </w:p>
          <w:p w14:paraId="68720C9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窗</w:t>
            </w:r>
          </w:p>
        </w:tc>
        <w:tc>
          <w:tcPr>
            <w:tcW w:w="610" w:type="dxa"/>
            <w:shd w:val="clear" w:color="auto" w:fill="auto"/>
            <w:noWrap/>
            <w:vAlign w:val="center"/>
          </w:tcPr>
          <w:p w14:paraId="6BBC61B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2623" w:type="dxa"/>
            <w:shd w:val="clear" w:color="auto" w:fill="auto"/>
            <w:vAlign w:val="center"/>
          </w:tcPr>
          <w:p w14:paraId="1465BE9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68系列内平开木窗</w:t>
            </w:r>
          </w:p>
        </w:tc>
        <w:tc>
          <w:tcPr>
            <w:tcW w:w="3035" w:type="dxa"/>
            <w:shd w:val="clear" w:color="auto" w:fill="auto"/>
            <w:vAlign w:val="center"/>
          </w:tcPr>
          <w:p w14:paraId="0F6A037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w:t>
            </w:r>
          </w:p>
        </w:tc>
        <w:tc>
          <w:tcPr>
            <w:tcW w:w="1418" w:type="dxa"/>
            <w:shd w:val="clear" w:color="auto" w:fill="auto"/>
            <w:vAlign w:val="center"/>
          </w:tcPr>
          <w:p w14:paraId="435A906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1.8~2.0</w:t>
            </w:r>
          </w:p>
        </w:tc>
        <w:tc>
          <w:tcPr>
            <w:tcW w:w="1192" w:type="dxa"/>
            <w:shd w:val="clear" w:color="auto" w:fill="auto"/>
            <w:vAlign w:val="center"/>
          </w:tcPr>
          <w:p w14:paraId="59E4FFB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7211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C7D8F82">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594A07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2623" w:type="dxa"/>
            <w:shd w:val="clear" w:color="auto" w:fill="auto"/>
            <w:vAlign w:val="center"/>
          </w:tcPr>
          <w:p w14:paraId="09A04D3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68系列内平开木窗</w:t>
            </w:r>
          </w:p>
        </w:tc>
        <w:tc>
          <w:tcPr>
            <w:tcW w:w="3035" w:type="dxa"/>
            <w:shd w:val="clear" w:color="auto" w:fill="auto"/>
            <w:vAlign w:val="center"/>
          </w:tcPr>
          <w:p w14:paraId="3FAAE72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w:t>
            </w:r>
          </w:p>
        </w:tc>
        <w:tc>
          <w:tcPr>
            <w:tcW w:w="1418" w:type="dxa"/>
            <w:shd w:val="clear" w:color="auto" w:fill="auto"/>
            <w:vAlign w:val="center"/>
          </w:tcPr>
          <w:p w14:paraId="1E9F8F3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1.8~2.0</w:t>
            </w:r>
          </w:p>
        </w:tc>
        <w:tc>
          <w:tcPr>
            <w:tcW w:w="1192" w:type="dxa"/>
            <w:shd w:val="clear" w:color="auto" w:fill="auto"/>
            <w:vAlign w:val="center"/>
          </w:tcPr>
          <w:p w14:paraId="0215177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72D0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F39DB73">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B453F0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2623" w:type="dxa"/>
            <w:shd w:val="clear" w:color="auto" w:fill="auto"/>
            <w:vAlign w:val="center"/>
          </w:tcPr>
          <w:p w14:paraId="7EB730F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68系列内平开木窗</w:t>
            </w:r>
          </w:p>
        </w:tc>
        <w:tc>
          <w:tcPr>
            <w:tcW w:w="3035" w:type="dxa"/>
            <w:shd w:val="clear" w:color="auto" w:fill="auto"/>
            <w:vAlign w:val="center"/>
          </w:tcPr>
          <w:p w14:paraId="16771D3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w:t>
            </w:r>
          </w:p>
        </w:tc>
        <w:tc>
          <w:tcPr>
            <w:tcW w:w="1418" w:type="dxa"/>
            <w:shd w:val="clear" w:color="auto" w:fill="auto"/>
            <w:vAlign w:val="center"/>
          </w:tcPr>
          <w:p w14:paraId="5EF97F6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1.7~1.9</w:t>
            </w:r>
          </w:p>
        </w:tc>
        <w:tc>
          <w:tcPr>
            <w:tcW w:w="1192" w:type="dxa"/>
            <w:shd w:val="clear" w:color="auto" w:fill="auto"/>
            <w:vAlign w:val="center"/>
          </w:tcPr>
          <w:p w14:paraId="5DE0073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0D40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CF6996E">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D317FB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2623" w:type="dxa"/>
            <w:shd w:val="clear" w:color="auto" w:fill="auto"/>
            <w:vAlign w:val="center"/>
          </w:tcPr>
          <w:p w14:paraId="424368A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78系列平开木窗</w:t>
            </w:r>
          </w:p>
        </w:tc>
        <w:tc>
          <w:tcPr>
            <w:tcW w:w="3035" w:type="dxa"/>
            <w:shd w:val="clear" w:color="auto" w:fill="auto"/>
            <w:vAlign w:val="center"/>
          </w:tcPr>
          <w:p w14:paraId="1781DD0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6+12A+6+12A+6Low-E</w:t>
            </w:r>
          </w:p>
        </w:tc>
        <w:tc>
          <w:tcPr>
            <w:tcW w:w="1418" w:type="dxa"/>
            <w:shd w:val="clear" w:color="auto" w:fill="auto"/>
            <w:vAlign w:val="center"/>
          </w:tcPr>
          <w:p w14:paraId="1130CB9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1.4~1.6</w:t>
            </w:r>
          </w:p>
        </w:tc>
        <w:tc>
          <w:tcPr>
            <w:tcW w:w="1192" w:type="dxa"/>
            <w:shd w:val="clear" w:color="auto" w:fill="auto"/>
            <w:vAlign w:val="center"/>
          </w:tcPr>
          <w:p w14:paraId="03A691B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5B8B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6B92C33">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47C866E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2623" w:type="dxa"/>
            <w:shd w:val="clear" w:color="auto" w:fill="auto"/>
            <w:vAlign w:val="center"/>
          </w:tcPr>
          <w:p w14:paraId="18EC523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78系列平开木窗</w:t>
            </w:r>
          </w:p>
        </w:tc>
        <w:tc>
          <w:tcPr>
            <w:tcW w:w="3035" w:type="dxa"/>
            <w:shd w:val="clear" w:color="auto" w:fill="auto"/>
            <w:vAlign w:val="center"/>
          </w:tcPr>
          <w:p w14:paraId="7BFE70B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2170CD3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1.3~1.5</w:t>
            </w:r>
          </w:p>
        </w:tc>
        <w:tc>
          <w:tcPr>
            <w:tcW w:w="1192" w:type="dxa"/>
            <w:shd w:val="clear" w:color="auto" w:fill="auto"/>
            <w:vAlign w:val="center"/>
          </w:tcPr>
          <w:p w14:paraId="4E5CCF8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48AB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8766372">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4A3CF12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2623" w:type="dxa"/>
            <w:shd w:val="clear" w:color="auto" w:fill="auto"/>
            <w:vAlign w:val="center"/>
          </w:tcPr>
          <w:p w14:paraId="3EF26F6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78系列平开木窗</w:t>
            </w:r>
          </w:p>
        </w:tc>
        <w:tc>
          <w:tcPr>
            <w:tcW w:w="3035" w:type="dxa"/>
            <w:shd w:val="clear" w:color="auto" w:fill="auto"/>
            <w:vAlign w:val="center"/>
          </w:tcPr>
          <w:p w14:paraId="6F4163A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6+12A+6Low-E+12A+6Low-E</w:t>
            </w:r>
          </w:p>
        </w:tc>
        <w:tc>
          <w:tcPr>
            <w:tcW w:w="1418" w:type="dxa"/>
            <w:shd w:val="clear" w:color="auto" w:fill="auto"/>
            <w:vAlign w:val="center"/>
          </w:tcPr>
          <w:p w14:paraId="0438274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1.2~1.4</w:t>
            </w:r>
          </w:p>
        </w:tc>
        <w:tc>
          <w:tcPr>
            <w:tcW w:w="1192" w:type="dxa"/>
            <w:shd w:val="clear" w:color="auto" w:fill="auto"/>
            <w:vAlign w:val="center"/>
          </w:tcPr>
          <w:p w14:paraId="2AB65A5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6724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01652E77">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82AC97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w:t>
            </w:r>
          </w:p>
        </w:tc>
        <w:tc>
          <w:tcPr>
            <w:tcW w:w="2623" w:type="dxa"/>
            <w:shd w:val="clear" w:color="auto" w:fill="auto"/>
            <w:vAlign w:val="center"/>
          </w:tcPr>
          <w:p w14:paraId="5C52D43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78系列平开木窗</w:t>
            </w:r>
          </w:p>
        </w:tc>
        <w:tc>
          <w:tcPr>
            <w:tcW w:w="3035" w:type="dxa"/>
            <w:shd w:val="clear" w:color="auto" w:fill="auto"/>
            <w:vAlign w:val="center"/>
          </w:tcPr>
          <w:p w14:paraId="03E72AF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6+12Ar+6Low-E+12Ar+6Low-E</w:t>
            </w:r>
          </w:p>
        </w:tc>
        <w:tc>
          <w:tcPr>
            <w:tcW w:w="1418" w:type="dxa"/>
            <w:shd w:val="clear" w:color="auto" w:fill="auto"/>
            <w:vAlign w:val="center"/>
          </w:tcPr>
          <w:p w14:paraId="76E16FB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1.1~1.3</w:t>
            </w:r>
          </w:p>
        </w:tc>
        <w:tc>
          <w:tcPr>
            <w:tcW w:w="1192" w:type="dxa"/>
            <w:shd w:val="clear" w:color="auto" w:fill="auto"/>
            <w:vAlign w:val="center"/>
          </w:tcPr>
          <w:p w14:paraId="028F7D4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4649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shd w:val="clear" w:color="auto" w:fill="auto"/>
            <w:vAlign w:val="center"/>
          </w:tcPr>
          <w:p w14:paraId="51371CF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铝</w:t>
            </w:r>
          </w:p>
          <w:p w14:paraId="6B9ED0C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木</w:t>
            </w:r>
          </w:p>
          <w:p w14:paraId="5CA25F8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复</w:t>
            </w:r>
          </w:p>
          <w:p w14:paraId="5E5423C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合</w:t>
            </w:r>
          </w:p>
          <w:p w14:paraId="782621E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窗</w:t>
            </w:r>
          </w:p>
        </w:tc>
        <w:tc>
          <w:tcPr>
            <w:tcW w:w="610" w:type="dxa"/>
            <w:shd w:val="clear" w:color="auto" w:fill="auto"/>
            <w:noWrap/>
            <w:vAlign w:val="center"/>
          </w:tcPr>
          <w:p w14:paraId="39C1D9E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2623" w:type="dxa"/>
            <w:vMerge w:val="restart"/>
            <w:shd w:val="clear" w:color="auto" w:fill="auto"/>
            <w:vAlign w:val="center"/>
          </w:tcPr>
          <w:p w14:paraId="331057D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86系列内平开铝木复合窗</w:t>
            </w:r>
          </w:p>
        </w:tc>
        <w:tc>
          <w:tcPr>
            <w:tcW w:w="3035" w:type="dxa"/>
            <w:shd w:val="clear" w:color="auto" w:fill="auto"/>
            <w:vAlign w:val="center"/>
          </w:tcPr>
          <w:p w14:paraId="649D0D6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w:t>
            </w:r>
          </w:p>
        </w:tc>
        <w:tc>
          <w:tcPr>
            <w:tcW w:w="1418" w:type="dxa"/>
            <w:shd w:val="clear" w:color="auto" w:fill="auto"/>
            <w:vAlign w:val="center"/>
          </w:tcPr>
          <w:p w14:paraId="39DF3EA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1.9~2.1</w:t>
            </w:r>
          </w:p>
        </w:tc>
        <w:tc>
          <w:tcPr>
            <w:tcW w:w="1192" w:type="dxa"/>
            <w:shd w:val="clear" w:color="auto" w:fill="auto"/>
            <w:vAlign w:val="center"/>
          </w:tcPr>
          <w:p w14:paraId="2C2BC94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3583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6B4B2DB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212742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2623" w:type="dxa"/>
            <w:vMerge w:val="continue"/>
            <w:shd w:val="clear" w:color="auto" w:fill="auto"/>
            <w:vAlign w:val="center"/>
          </w:tcPr>
          <w:p w14:paraId="4701D86E">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8FA0A1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w:t>
            </w:r>
          </w:p>
        </w:tc>
        <w:tc>
          <w:tcPr>
            <w:tcW w:w="1418" w:type="dxa"/>
            <w:shd w:val="clear" w:color="auto" w:fill="auto"/>
            <w:vAlign w:val="center"/>
          </w:tcPr>
          <w:p w14:paraId="1C11570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1.9~2.1</w:t>
            </w:r>
          </w:p>
        </w:tc>
        <w:tc>
          <w:tcPr>
            <w:tcW w:w="1192" w:type="dxa"/>
            <w:shd w:val="clear" w:color="auto" w:fill="auto"/>
            <w:vAlign w:val="center"/>
          </w:tcPr>
          <w:p w14:paraId="6790A26C">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0F95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6791F17C">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719D018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2623" w:type="dxa"/>
            <w:vMerge w:val="continue"/>
            <w:shd w:val="clear" w:color="auto" w:fill="auto"/>
            <w:vAlign w:val="center"/>
          </w:tcPr>
          <w:p w14:paraId="5FE842F4">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2EB103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w:t>
            </w:r>
          </w:p>
        </w:tc>
        <w:tc>
          <w:tcPr>
            <w:tcW w:w="1418" w:type="dxa"/>
            <w:shd w:val="clear" w:color="auto" w:fill="auto"/>
            <w:vAlign w:val="center"/>
          </w:tcPr>
          <w:p w14:paraId="571557F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1.8~2.0</w:t>
            </w:r>
          </w:p>
        </w:tc>
        <w:tc>
          <w:tcPr>
            <w:tcW w:w="1192" w:type="dxa"/>
            <w:shd w:val="clear" w:color="auto" w:fill="auto"/>
            <w:vAlign w:val="center"/>
          </w:tcPr>
          <w:p w14:paraId="7F6FA81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2E58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91F859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3510C8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2623" w:type="dxa"/>
            <w:vMerge w:val="continue"/>
            <w:shd w:val="clear" w:color="auto" w:fill="auto"/>
            <w:vAlign w:val="center"/>
          </w:tcPr>
          <w:p w14:paraId="4D97CBE0">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6FD8A6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6+12A+6+12A+6Low-E</w:t>
            </w:r>
          </w:p>
        </w:tc>
        <w:tc>
          <w:tcPr>
            <w:tcW w:w="1418" w:type="dxa"/>
            <w:shd w:val="clear" w:color="auto" w:fill="auto"/>
            <w:vAlign w:val="center"/>
          </w:tcPr>
          <w:p w14:paraId="2EF8B86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1.5~1.7</w:t>
            </w:r>
          </w:p>
        </w:tc>
        <w:tc>
          <w:tcPr>
            <w:tcW w:w="1192" w:type="dxa"/>
            <w:shd w:val="clear" w:color="auto" w:fill="auto"/>
            <w:vAlign w:val="center"/>
          </w:tcPr>
          <w:p w14:paraId="7A4AE30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77EE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28685B3">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B1114F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2623" w:type="dxa"/>
            <w:vMerge w:val="continue"/>
            <w:shd w:val="clear" w:color="auto" w:fill="auto"/>
            <w:vAlign w:val="center"/>
          </w:tcPr>
          <w:p w14:paraId="2868E794">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19B4D23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6+12Ar+6+12Ar+6Low-E</w:t>
            </w:r>
          </w:p>
        </w:tc>
        <w:tc>
          <w:tcPr>
            <w:tcW w:w="1418" w:type="dxa"/>
            <w:shd w:val="clear" w:color="auto" w:fill="auto"/>
            <w:vAlign w:val="center"/>
          </w:tcPr>
          <w:p w14:paraId="00B75A3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1.4~1.6</w:t>
            </w:r>
          </w:p>
        </w:tc>
        <w:tc>
          <w:tcPr>
            <w:tcW w:w="1192" w:type="dxa"/>
            <w:shd w:val="clear" w:color="auto" w:fill="auto"/>
            <w:vAlign w:val="center"/>
          </w:tcPr>
          <w:p w14:paraId="08F7F2B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2723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F216AA8">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54BE236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2623" w:type="dxa"/>
            <w:vMerge w:val="continue"/>
            <w:shd w:val="clear" w:color="auto" w:fill="auto"/>
            <w:vAlign w:val="center"/>
          </w:tcPr>
          <w:p w14:paraId="6C2FC57D">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7748F66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6+12A+6Low-E+12A+6Low-E</w:t>
            </w:r>
          </w:p>
        </w:tc>
        <w:tc>
          <w:tcPr>
            <w:tcW w:w="1418" w:type="dxa"/>
            <w:shd w:val="clear" w:color="auto" w:fill="auto"/>
            <w:vAlign w:val="center"/>
          </w:tcPr>
          <w:p w14:paraId="6B798A0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1.3~1.5</w:t>
            </w:r>
          </w:p>
        </w:tc>
        <w:tc>
          <w:tcPr>
            <w:tcW w:w="1192" w:type="dxa"/>
            <w:shd w:val="clear" w:color="auto" w:fill="auto"/>
            <w:vAlign w:val="center"/>
          </w:tcPr>
          <w:p w14:paraId="4831613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7201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2DAE98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74E02B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7</w:t>
            </w:r>
          </w:p>
        </w:tc>
        <w:tc>
          <w:tcPr>
            <w:tcW w:w="2623" w:type="dxa"/>
            <w:vMerge w:val="continue"/>
            <w:shd w:val="clear" w:color="auto" w:fill="auto"/>
            <w:vAlign w:val="center"/>
          </w:tcPr>
          <w:p w14:paraId="338155A8">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CF919B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6+12Ar+6Low-E+12Ar+6Low-E</w:t>
            </w:r>
          </w:p>
        </w:tc>
        <w:tc>
          <w:tcPr>
            <w:tcW w:w="1418" w:type="dxa"/>
            <w:shd w:val="clear" w:color="auto" w:fill="auto"/>
            <w:vAlign w:val="center"/>
          </w:tcPr>
          <w:p w14:paraId="5D0EE2F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1.2~1.4</w:t>
            </w:r>
          </w:p>
        </w:tc>
        <w:tc>
          <w:tcPr>
            <w:tcW w:w="1192" w:type="dxa"/>
            <w:shd w:val="clear" w:color="auto" w:fill="auto"/>
            <w:vAlign w:val="center"/>
          </w:tcPr>
          <w:p w14:paraId="68330B7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5736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vAlign w:val="center"/>
          </w:tcPr>
          <w:p w14:paraId="073B769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玻</w:t>
            </w:r>
          </w:p>
          <w:p w14:paraId="0C24C97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纤</w:t>
            </w:r>
          </w:p>
          <w:p w14:paraId="291A6BA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增</w:t>
            </w:r>
          </w:p>
          <w:p w14:paraId="26912484">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强</w:t>
            </w:r>
          </w:p>
          <w:p w14:paraId="7A4C5799">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聚</w:t>
            </w:r>
          </w:p>
          <w:p w14:paraId="1CB0908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氨</w:t>
            </w:r>
          </w:p>
          <w:p w14:paraId="4324765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酯</w:t>
            </w:r>
          </w:p>
          <w:p w14:paraId="282B672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窗</w:t>
            </w:r>
          </w:p>
        </w:tc>
        <w:tc>
          <w:tcPr>
            <w:tcW w:w="610" w:type="dxa"/>
            <w:shd w:val="clear" w:color="auto" w:fill="auto"/>
            <w:noWrap/>
            <w:vAlign w:val="center"/>
          </w:tcPr>
          <w:p w14:paraId="1E2DF2A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p>
        </w:tc>
        <w:tc>
          <w:tcPr>
            <w:tcW w:w="2623" w:type="dxa"/>
            <w:vMerge w:val="restart"/>
            <w:shd w:val="clear" w:color="auto" w:fill="auto"/>
            <w:vAlign w:val="center"/>
          </w:tcPr>
          <w:p w14:paraId="5C9002E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r>
              <w:rPr>
                <w:rFonts w:ascii="Times New Roman" w:hAnsi="Times New Roman" w:cs="Times New Roman"/>
                <w:kern w:val="0"/>
                <w:sz w:val="18"/>
                <w:szCs w:val="18"/>
              </w:rPr>
              <w:t>0</w:t>
            </w:r>
            <w:r>
              <w:rPr>
                <w:rFonts w:hint="eastAsia" w:ascii="Times New Roman" w:hAnsi="Times New Roman" w:cs="Times New Roman"/>
                <w:kern w:val="0"/>
                <w:sz w:val="18"/>
                <w:szCs w:val="18"/>
              </w:rPr>
              <w:t>系列平开窗</w:t>
            </w:r>
          </w:p>
        </w:tc>
        <w:tc>
          <w:tcPr>
            <w:tcW w:w="3035" w:type="dxa"/>
            <w:shd w:val="clear" w:color="auto" w:fill="auto"/>
            <w:vAlign w:val="center"/>
          </w:tcPr>
          <w:p w14:paraId="5FDF458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w:t>
            </w:r>
          </w:p>
        </w:tc>
        <w:tc>
          <w:tcPr>
            <w:tcW w:w="1418" w:type="dxa"/>
            <w:shd w:val="clear" w:color="auto" w:fill="auto"/>
            <w:vAlign w:val="center"/>
          </w:tcPr>
          <w:p w14:paraId="1A483D1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.9/1.8</w:t>
            </w:r>
          </w:p>
        </w:tc>
        <w:tc>
          <w:tcPr>
            <w:tcW w:w="1192" w:type="dxa"/>
            <w:shd w:val="clear" w:color="auto" w:fill="auto"/>
            <w:vAlign w:val="center"/>
          </w:tcPr>
          <w:p w14:paraId="68E9146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3D25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C807B1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4E2E542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w:t>
            </w:r>
          </w:p>
        </w:tc>
        <w:tc>
          <w:tcPr>
            <w:tcW w:w="2623" w:type="dxa"/>
            <w:vMerge w:val="continue"/>
            <w:shd w:val="clear" w:color="auto" w:fill="auto"/>
            <w:vAlign w:val="center"/>
          </w:tcPr>
          <w:p w14:paraId="1F95422C">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62261ED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5+9A/Ar+5+9A/Ar+5</w:t>
            </w:r>
          </w:p>
        </w:tc>
        <w:tc>
          <w:tcPr>
            <w:tcW w:w="1418" w:type="dxa"/>
            <w:shd w:val="clear" w:color="auto" w:fill="auto"/>
            <w:vAlign w:val="center"/>
          </w:tcPr>
          <w:p w14:paraId="1DF85E89">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.9/1.8</w:t>
            </w:r>
          </w:p>
        </w:tc>
        <w:tc>
          <w:tcPr>
            <w:tcW w:w="1192" w:type="dxa"/>
            <w:shd w:val="clear" w:color="auto" w:fill="auto"/>
            <w:vAlign w:val="center"/>
          </w:tcPr>
          <w:p w14:paraId="31EE890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67FE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6D50A0A6">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E62C12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3</w:t>
            </w:r>
          </w:p>
        </w:tc>
        <w:tc>
          <w:tcPr>
            <w:tcW w:w="2623" w:type="dxa"/>
            <w:vMerge w:val="continue"/>
            <w:shd w:val="clear" w:color="auto" w:fill="auto"/>
            <w:vAlign w:val="center"/>
          </w:tcPr>
          <w:p w14:paraId="73A9AE80">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1D962E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5Low-E+9A/Ar+5+9A/Ar+5</w:t>
            </w:r>
          </w:p>
        </w:tc>
        <w:tc>
          <w:tcPr>
            <w:tcW w:w="1418" w:type="dxa"/>
            <w:shd w:val="clear" w:color="auto" w:fill="auto"/>
            <w:vAlign w:val="center"/>
          </w:tcPr>
          <w:p w14:paraId="7C7AFEC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.7</w:t>
            </w:r>
            <w:r>
              <w:rPr>
                <w:rFonts w:hint="eastAsia" w:ascii="Times New Roman" w:hAnsi="Times New Roman" w:cs="Times New Roman"/>
                <w:kern w:val="0"/>
                <w:sz w:val="18"/>
                <w:szCs w:val="18"/>
              </w:rPr>
              <w:t>/</w:t>
            </w:r>
            <w:r>
              <w:rPr>
                <w:rFonts w:ascii="Times New Roman" w:hAnsi="Times New Roman" w:cs="Times New Roman"/>
                <w:kern w:val="0"/>
                <w:sz w:val="18"/>
                <w:szCs w:val="18"/>
              </w:rPr>
              <w:t>1.5</w:t>
            </w:r>
          </w:p>
        </w:tc>
        <w:tc>
          <w:tcPr>
            <w:tcW w:w="1192" w:type="dxa"/>
            <w:shd w:val="clear" w:color="auto" w:fill="auto"/>
            <w:vAlign w:val="center"/>
          </w:tcPr>
          <w:p w14:paraId="5CC7889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D23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F06E85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8663883">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4</w:t>
            </w:r>
          </w:p>
        </w:tc>
        <w:tc>
          <w:tcPr>
            <w:tcW w:w="2623" w:type="dxa"/>
            <w:vMerge w:val="continue"/>
            <w:shd w:val="clear" w:color="auto" w:fill="auto"/>
            <w:vAlign w:val="center"/>
          </w:tcPr>
          <w:p w14:paraId="2FD9A97B">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0714458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5Low-E+9A/Ar+5Low-E+9A/Ar+5</w:t>
            </w:r>
          </w:p>
        </w:tc>
        <w:tc>
          <w:tcPr>
            <w:tcW w:w="1418" w:type="dxa"/>
            <w:shd w:val="clear" w:color="auto" w:fill="auto"/>
            <w:vAlign w:val="center"/>
          </w:tcPr>
          <w:p w14:paraId="198EFFF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.4/1.3</w:t>
            </w:r>
          </w:p>
        </w:tc>
        <w:tc>
          <w:tcPr>
            <w:tcW w:w="1192" w:type="dxa"/>
            <w:shd w:val="clear" w:color="auto" w:fill="auto"/>
            <w:vAlign w:val="center"/>
          </w:tcPr>
          <w:p w14:paraId="3F111A6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2047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4E8F8B6">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1C8EB84">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5</w:t>
            </w:r>
          </w:p>
        </w:tc>
        <w:tc>
          <w:tcPr>
            <w:tcW w:w="2623" w:type="dxa"/>
            <w:vMerge w:val="restart"/>
            <w:shd w:val="clear" w:color="auto" w:fill="auto"/>
            <w:vAlign w:val="center"/>
          </w:tcPr>
          <w:p w14:paraId="10B2A4A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r>
              <w:rPr>
                <w:rFonts w:ascii="Times New Roman" w:hAnsi="Times New Roman" w:cs="Times New Roman"/>
                <w:kern w:val="0"/>
                <w:sz w:val="18"/>
                <w:szCs w:val="18"/>
              </w:rPr>
              <w:t>5</w:t>
            </w:r>
            <w:r>
              <w:rPr>
                <w:rFonts w:hint="eastAsia" w:ascii="Times New Roman" w:hAnsi="Times New Roman" w:cs="Times New Roman"/>
                <w:kern w:val="0"/>
                <w:sz w:val="18"/>
                <w:szCs w:val="18"/>
              </w:rPr>
              <w:t>系列平开窗</w:t>
            </w:r>
          </w:p>
        </w:tc>
        <w:tc>
          <w:tcPr>
            <w:tcW w:w="3035" w:type="dxa"/>
            <w:shd w:val="clear" w:color="auto" w:fill="auto"/>
            <w:vAlign w:val="center"/>
          </w:tcPr>
          <w:p w14:paraId="0E484E1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w:t>
            </w:r>
          </w:p>
        </w:tc>
        <w:tc>
          <w:tcPr>
            <w:tcW w:w="1418" w:type="dxa"/>
            <w:shd w:val="clear" w:color="auto" w:fill="auto"/>
            <w:vAlign w:val="center"/>
          </w:tcPr>
          <w:p w14:paraId="37AFC58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w:t>
            </w:r>
            <w:r>
              <w:rPr>
                <w:rFonts w:hint="eastAsia" w:ascii="Times New Roman" w:hAnsi="Times New Roman" w:cs="Times New Roman"/>
                <w:kern w:val="0"/>
                <w:sz w:val="18"/>
                <w:szCs w:val="18"/>
              </w:rPr>
              <w:t>/</w:t>
            </w:r>
            <w:r>
              <w:rPr>
                <w:rFonts w:ascii="Times New Roman" w:hAnsi="Times New Roman" w:cs="Times New Roman"/>
                <w:kern w:val="0"/>
                <w:sz w:val="18"/>
                <w:szCs w:val="18"/>
              </w:rPr>
              <w:t>1.8</w:t>
            </w:r>
          </w:p>
        </w:tc>
        <w:tc>
          <w:tcPr>
            <w:tcW w:w="1192" w:type="dxa"/>
            <w:shd w:val="clear" w:color="auto" w:fill="auto"/>
            <w:vAlign w:val="center"/>
          </w:tcPr>
          <w:p w14:paraId="253AB9B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7694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5B2977F">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D248E9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p>
        </w:tc>
        <w:tc>
          <w:tcPr>
            <w:tcW w:w="2623" w:type="dxa"/>
            <w:vMerge w:val="continue"/>
            <w:shd w:val="clear" w:color="auto" w:fill="auto"/>
            <w:vAlign w:val="center"/>
          </w:tcPr>
          <w:p w14:paraId="2BC5FF47">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663D565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5+9A/Ar+5+9A/Ar+5</w:t>
            </w:r>
          </w:p>
        </w:tc>
        <w:tc>
          <w:tcPr>
            <w:tcW w:w="1418" w:type="dxa"/>
            <w:shd w:val="clear" w:color="auto" w:fill="auto"/>
            <w:vAlign w:val="center"/>
          </w:tcPr>
          <w:p w14:paraId="49D44E7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w:t>
            </w:r>
            <w:r>
              <w:rPr>
                <w:rFonts w:hint="eastAsia" w:ascii="Times New Roman" w:hAnsi="Times New Roman" w:cs="Times New Roman"/>
                <w:kern w:val="0"/>
                <w:sz w:val="18"/>
                <w:szCs w:val="18"/>
              </w:rPr>
              <w:t>/</w:t>
            </w:r>
            <w:r>
              <w:rPr>
                <w:rFonts w:ascii="Times New Roman" w:hAnsi="Times New Roman" w:cs="Times New Roman"/>
                <w:kern w:val="0"/>
                <w:sz w:val="18"/>
                <w:szCs w:val="18"/>
              </w:rPr>
              <w:t>1.8</w:t>
            </w:r>
          </w:p>
        </w:tc>
        <w:tc>
          <w:tcPr>
            <w:tcW w:w="1192" w:type="dxa"/>
            <w:shd w:val="clear" w:color="auto" w:fill="auto"/>
            <w:vAlign w:val="center"/>
          </w:tcPr>
          <w:p w14:paraId="32E0CAE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6712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67B227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65EA7314">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w:t>
            </w:r>
          </w:p>
        </w:tc>
        <w:tc>
          <w:tcPr>
            <w:tcW w:w="2623" w:type="dxa"/>
            <w:vMerge w:val="continue"/>
            <w:shd w:val="clear" w:color="auto" w:fill="auto"/>
            <w:vAlign w:val="center"/>
          </w:tcPr>
          <w:p w14:paraId="545E112D">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727AE09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5Low-E+9A/Ar+5+9A/Ar+5</w:t>
            </w:r>
          </w:p>
        </w:tc>
        <w:tc>
          <w:tcPr>
            <w:tcW w:w="1418" w:type="dxa"/>
            <w:shd w:val="clear" w:color="auto" w:fill="auto"/>
            <w:vAlign w:val="center"/>
          </w:tcPr>
          <w:p w14:paraId="2F892A0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.6</w:t>
            </w:r>
            <w:r>
              <w:rPr>
                <w:rFonts w:hint="eastAsia" w:ascii="Times New Roman" w:hAnsi="Times New Roman" w:cs="Times New Roman"/>
                <w:kern w:val="0"/>
                <w:sz w:val="18"/>
                <w:szCs w:val="18"/>
              </w:rPr>
              <w:t>/</w:t>
            </w:r>
            <w:r>
              <w:rPr>
                <w:rFonts w:ascii="Times New Roman" w:hAnsi="Times New Roman" w:cs="Times New Roman"/>
                <w:kern w:val="0"/>
                <w:sz w:val="18"/>
                <w:szCs w:val="18"/>
              </w:rPr>
              <w:t>1.5</w:t>
            </w:r>
          </w:p>
        </w:tc>
        <w:tc>
          <w:tcPr>
            <w:tcW w:w="1192" w:type="dxa"/>
            <w:shd w:val="clear" w:color="auto" w:fill="auto"/>
            <w:vAlign w:val="center"/>
          </w:tcPr>
          <w:p w14:paraId="447B1EC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64A3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B9490A7">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7421D72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8</w:t>
            </w:r>
          </w:p>
        </w:tc>
        <w:tc>
          <w:tcPr>
            <w:tcW w:w="2623" w:type="dxa"/>
            <w:vMerge w:val="continue"/>
            <w:shd w:val="clear" w:color="auto" w:fill="auto"/>
            <w:vAlign w:val="center"/>
          </w:tcPr>
          <w:p w14:paraId="0D309187">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4760414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5Low-E+9A/Ar+5Low-E+9A/Ar+5</w:t>
            </w:r>
          </w:p>
        </w:tc>
        <w:tc>
          <w:tcPr>
            <w:tcW w:w="1418" w:type="dxa"/>
            <w:shd w:val="clear" w:color="auto" w:fill="auto"/>
            <w:vAlign w:val="center"/>
          </w:tcPr>
          <w:p w14:paraId="4853ACF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.35</w:t>
            </w:r>
            <w:r>
              <w:rPr>
                <w:rFonts w:hint="eastAsia" w:ascii="Times New Roman" w:hAnsi="Times New Roman" w:cs="Times New Roman"/>
                <w:kern w:val="0"/>
                <w:sz w:val="18"/>
                <w:szCs w:val="18"/>
              </w:rPr>
              <w:t>/</w:t>
            </w:r>
            <w:r>
              <w:rPr>
                <w:rFonts w:ascii="Times New Roman" w:hAnsi="Times New Roman" w:cs="Times New Roman"/>
                <w:kern w:val="0"/>
                <w:sz w:val="18"/>
                <w:szCs w:val="18"/>
              </w:rPr>
              <w:t>1.3</w:t>
            </w:r>
          </w:p>
        </w:tc>
        <w:tc>
          <w:tcPr>
            <w:tcW w:w="1192" w:type="dxa"/>
            <w:shd w:val="clear" w:color="auto" w:fill="auto"/>
            <w:vAlign w:val="center"/>
          </w:tcPr>
          <w:p w14:paraId="3CC1EA6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2AA6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F1BDD03">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D110CD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9</w:t>
            </w:r>
          </w:p>
        </w:tc>
        <w:tc>
          <w:tcPr>
            <w:tcW w:w="2623" w:type="dxa"/>
            <w:vMerge w:val="continue"/>
            <w:shd w:val="clear" w:color="auto" w:fill="auto"/>
            <w:vAlign w:val="center"/>
          </w:tcPr>
          <w:p w14:paraId="1F422C8D">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6A63915D">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5+12A/Ar+5+12A/Ar+5</w:t>
            </w:r>
          </w:p>
        </w:tc>
        <w:tc>
          <w:tcPr>
            <w:tcW w:w="1418" w:type="dxa"/>
            <w:shd w:val="clear" w:color="auto" w:fill="auto"/>
            <w:vAlign w:val="center"/>
          </w:tcPr>
          <w:p w14:paraId="2850BD2E">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w:t>
            </w:r>
            <w:r>
              <w:rPr>
                <w:rFonts w:hint="eastAsia" w:ascii="Times New Roman" w:hAnsi="Times New Roman" w:cs="Times New Roman"/>
                <w:kern w:val="0"/>
                <w:sz w:val="18"/>
                <w:szCs w:val="18"/>
              </w:rPr>
              <w:t>/</w:t>
            </w:r>
            <w:r>
              <w:rPr>
                <w:rFonts w:ascii="Times New Roman" w:hAnsi="Times New Roman" w:cs="Times New Roman"/>
                <w:kern w:val="0"/>
                <w:sz w:val="18"/>
                <w:szCs w:val="18"/>
              </w:rPr>
              <w:t>1.8</w:t>
            </w:r>
          </w:p>
        </w:tc>
        <w:tc>
          <w:tcPr>
            <w:tcW w:w="1192" w:type="dxa"/>
            <w:shd w:val="clear" w:color="auto" w:fill="auto"/>
            <w:vAlign w:val="center"/>
          </w:tcPr>
          <w:p w14:paraId="26D4B242">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3513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6C240238">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501E49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0</w:t>
            </w:r>
          </w:p>
        </w:tc>
        <w:tc>
          <w:tcPr>
            <w:tcW w:w="2623" w:type="dxa"/>
            <w:vMerge w:val="continue"/>
            <w:shd w:val="clear" w:color="auto" w:fill="auto"/>
            <w:vAlign w:val="center"/>
          </w:tcPr>
          <w:p w14:paraId="670AF94E">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278FF12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5Low-E+12A/Ar+5+12A/Ar+5</w:t>
            </w:r>
          </w:p>
        </w:tc>
        <w:tc>
          <w:tcPr>
            <w:tcW w:w="1418" w:type="dxa"/>
            <w:shd w:val="clear" w:color="auto" w:fill="auto"/>
            <w:vAlign w:val="center"/>
          </w:tcPr>
          <w:p w14:paraId="780A1F1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.5/1.4</w:t>
            </w:r>
          </w:p>
        </w:tc>
        <w:tc>
          <w:tcPr>
            <w:tcW w:w="1192" w:type="dxa"/>
            <w:shd w:val="clear" w:color="auto" w:fill="auto"/>
            <w:vAlign w:val="center"/>
          </w:tcPr>
          <w:p w14:paraId="5D6700D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7FDE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93F663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722EB3B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1</w:t>
            </w:r>
          </w:p>
        </w:tc>
        <w:tc>
          <w:tcPr>
            <w:tcW w:w="2623" w:type="dxa"/>
            <w:vMerge w:val="continue"/>
            <w:shd w:val="clear" w:color="auto" w:fill="auto"/>
            <w:vAlign w:val="center"/>
          </w:tcPr>
          <w:p w14:paraId="47BFE462">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0C37F0C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5Low-E+12A/Ar+5Low-E+12A/Ar+5</w:t>
            </w:r>
          </w:p>
        </w:tc>
        <w:tc>
          <w:tcPr>
            <w:tcW w:w="1418" w:type="dxa"/>
            <w:shd w:val="clear" w:color="auto" w:fill="auto"/>
            <w:vAlign w:val="center"/>
          </w:tcPr>
          <w:p w14:paraId="545A2CF9">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.3/1.2</w:t>
            </w:r>
          </w:p>
        </w:tc>
        <w:tc>
          <w:tcPr>
            <w:tcW w:w="1192" w:type="dxa"/>
            <w:shd w:val="clear" w:color="auto" w:fill="auto"/>
            <w:vAlign w:val="center"/>
          </w:tcPr>
          <w:p w14:paraId="00DF6F1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0F06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EC06303">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7996ED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2</w:t>
            </w:r>
          </w:p>
        </w:tc>
        <w:tc>
          <w:tcPr>
            <w:tcW w:w="2623" w:type="dxa"/>
            <w:vMerge w:val="restart"/>
            <w:shd w:val="clear" w:color="auto" w:fill="auto"/>
            <w:vAlign w:val="center"/>
          </w:tcPr>
          <w:p w14:paraId="342B8CE3">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w:t>
            </w:r>
            <w:r>
              <w:rPr>
                <w:rFonts w:ascii="Times New Roman" w:hAnsi="Times New Roman" w:cs="Times New Roman"/>
                <w:kern w:val="0"/>
                <w:sz w:val="18"/>
                <w:szCs w:val="18"/>
              </w:rPr>
              <w:t>0</w:t>
            </w:r>
            <w:r>
              <w:rPr>
                <w:rFonts w:hint="eastAsia" w:ascii="Times New Roman" w:hAnsi="Times New Roman" w:cs="Times New Roman"/>
                <w:kern w:val="0"/>
                <w:sz w:val="18"/>
                <w:szCs w:val="18"/>
              </w:rPr>
              <w:t>系列平开窗</w:t>
            </w:r>
          </w:p>
        </w:tc>
        <w:tc>
          <w:tcPr>
            <w:tcW w:w="3035" w:type="dxa"/>
            <w:shd w:val="clear" w:color="auto" w:fill="auto"/>
            <w:vAlign w:val="center"/>
          </w:tcPr>
          <w:p w14:paraId="1C24258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5+12A/Ar+5+12A/Ar+5</w:t>
            </w:r>
          </w:p>
        </w:tc>
        <w:tc>
          <w:tcPr>
            <w:tcW w:w="1418" w:type="dxa"/>
            <w:shd w:val="clear" w:color="auto" w:fill="auto"/>
            <w:vAlign w:val="center"/>
          </w:tcPr>
          <w:p w14:paraId="5086374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.8</w:t>
            </w:r>
            <w:r>
              <w:rPr>
                <w:rFonts w:hint="eastAsia" w:ascii="Times New Roman" w:hAnsi="Times New Roman" w:cs="Times New Roman"/>
                <w:kern w:val="0"/>
                <w:sz w:val="18"/>
                <w:szCs w:val="18"/>
              </w:rPr>
              <w:t>/</w:t>
            </w:r>
            <w:r>
              <w:rPr>
                <w:rFonts w:ascii="Times New Roman" w:hAnsi="Times New Roman" w:cs="Times New Roman"/>
                <w:kern w:val="0"/>
                <w:sz w:val="18"/>
                <w:szCs w:val="18"/>
              </w:rPr>
              <w:t>1.7</w:t>
            </w:r>
          </w:p>
        </w:tc>
        <w:tc>
          <w:tcPr>
            <w:tcW w:w="1192" w:type="dxa"/>
            <w:shd w:val="clear" w:color="auto" w:fill="auto"/>
            <w:vAlign w:val="center"/>
          </w:tcPr>
          <w:p w14:paraId="3B9C8953">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53B8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58605DA1">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D3C3D23">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3</w:t>
            </w:r>
          </w:p>
        </w:tc>
        <w:tc>
          <w:tcPr>
            <w:tcW w:w="2623" w:type="dxa"/>
            <w:vMerge w:val="continue"/>
            <w:shd w:val="clear" w:color="auto" w:fill="auto"/>
            <w:vAlign w:val="center"/>
          </w:tcPr>
          <w:p w14:paraId="0901A862">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68552587">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5Low-E+12A/Ar+5+12A/Ar+5</w:t>
            </w:r>
          </w:p>
        </w:tc>
        <w:tc>
          <w:tcPr>
            <w:tcW w:w="1418" w:type="dxa"/>
            <w:shd w:val="clear" w:color="auto" w:fill="auto"/>
            <w:vAlign w:val="center"/>
          </w:tcPr>
          <w:p w14:paraId="4A5064E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.5/1.4</w:t>
            </w:r>
          </w:p>
        </w:tc>
        <w:tc>
          <w:tcPr>
            <w:tcW w:w="1192" w:type="dxa"/>
            <w:shd w:val="clear" w:color="auto" w:fill="auto"/>
            <w:vAlign w:val="center"/>
          </w:tcPr>
          <w:p w14:paraId="1FB5DE3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3672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21EC07F">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C21815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w:t>
            </w:r>
          </w:p>
        </w:tc>
        <w:tc>
          <w:tcPr>
            <w:tcW w:w="2623" w:type="dxa"/>
            <w:vMerge w:val="continue"/>
            <w:shd w:val="clear" w:color="auto" w:fill="auto"/>
            <w:vAlign w:val="center"/>
          </w:tcPr>
          <w:p w14:paraId="7356D220">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ED3F848">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5Low-E+12A/Ar+5Low-E+12A/Ar+5</w:t>
            </w:r>
          </w:p>
        </w:tc>
        <w:tc>
          <w:tcPr>
            <w:tcW w:w="1418" w:type="dxa"/>
            <w:shd w:val="clear" w:color="auto" w:fill="auto"/>
            <w:vAlign w:val="center"/>
          </w:tcPr>
          <w:p w14:paraId="4EB27F5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.3</w:t>
            </w:r>
            <w:r>
              <w:rPr>
                <w:rFonts w:hint="eastAsia" w:ascii="Times New Roman" w:hAnsi="Times New Roman" w:cs="Times New Roman"/>
                <w:kern w:val="0"/>
                <w:sz w:val="18"/>
                <w:szCs w:val="18"/>
              </w:rPr>
              <w:t>/</w:t>
            </w:r>
            <w:r>
              <w:rPr>
                <w:rFonts w:ascii="Times New Roman" w:hAnsi="Times New Roman" w:cs="Times New Roman"/>
                <w:kern w:val="0"/>
                <w:sz w:val="18"/>
                <w:szCs w:val="18"/>
              </w:rPr>
              <w:t>1.2</w:t>
            </w:r>
          </w:p>
        </w:tc>
        <w:tc>
          <w:tcPr>
            <w:tcW w:w="1192" w:type="dxa"/>
            <w:shd w:val="clear" w:color="auto" w:fill="auto"/>
            <w:vAlign w:val="center"/>
          </w:tcPr>
          <w:p w14:paraId="2799C09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0.24~0.31</w:t>
            </w:r>
          </w:p>
        </w:tc>
      </w:tr>
      <w:tr w14:paraId="6A09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36F19747">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5446360">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5</w:t>
            </w:r>
          </w:p>
        </w:tc>
        <w:tc>
          <w:tcPr>
            <w:tcW w:w="2623" w:type="dxa"/>
            <w:vMerge w:val="restart"/>
            <w:shd w:val="clear" w:color="auto" w:fill="auto"/>
            <w:vAlign w:val="center"/>
          </w:tcPr>
          <w:p w14:paraId="1A1AE01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w:t>
            </w:r>
            <w:r>
              <w:rPr>
                <w:rFonts w:ascii="Times New Roman" w:hAnsi="Times New Roman" w:cs="Times New Roman"/>
                <w:kern w:val="0"/>
                <w:sz w:val="18"/>
                <w:szCs w:val="18"/>
              </w:rPr>
              <w:t>5</w:t>
            </w:r>
            <w:r>
              <w:rPr>
                <w:rFonts w:hint="eastAsia" w:ascii="Times New Roman" w:hAnsi="Times New Roman" w:cs="Times New Roman"/>
                <w:kern w:val="0"/>
                <w:sz w:val="18"/>
                <w:szCs w:val="18"/>
              </w:rPr>
              <w:t>系列平开窗</w:t>
            </w:r>
          </w:p>
        </w:tc>
        <w:tc>
          <w:tcPr>
            <w:tcW w:w="3035" w:type="dxa"/>
            <w:shd w:val="clear" w:color="auto" w:fill="auto"/>
            <w:vAlign w:val="center"/>
          </w:tcPr>
          <w:p w14:paraId="76E23EF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5+12A/Ar+5+12A/Ar+5</w:t>
            </w:r>
          </w:p>
        </w:tc>
        <w:tc>
          <w:tcPr>
            <w:tcW w:w="1418" w:type="dxa"/>
            <w:shd w:val="clear" w:color="auto" w:fill="auto"/>
            <w:vAlign w:val="center"/>
          </w:tcPr>
          <w:p w14:paraId="0428464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.8</w:t>
            </w:r>
            <w:r>
              <w:rPr>
                <w:rFonts w:hint="eastAsia" w:ascii="Times New Roman" w:hAnsi="Times New Roman" w:cs="Times New Roman"/>
                <w:kern w:val="0"/>
                <w:sz w:val="18"/>
                <w:szCs w:val="18"/>
              </w:rPr>
              <w:t>/</w:t>
            </w:r>
            <w:r>
              <w:rPr>
                <w:rFonts w:ascii="Times New Roman" w:hAnsi="Times New Roman" w:cs="Times New Roman"/>
                <w:kern w:val="0"/>
                <w:sz w:val="18"/>
                <w:szCs w:val="18"/>
              </w:rPr>
              <w:t>1.6</w:t>
            </w:r>
          </w:p>
        </w:tc>
        <w:tc>
          <w:tcPr>
            <w:tcW w:w="1192" w:type="dxa"/>
            <w:shd w:val="clear" w:color="auto" w:fill="auto"/>
            <w:vAlign w:val="center"/>
          </w:tcPr>
          <w:p w14:paraId="4CC239C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0.44~0.48</w:t>
            </w:r>
          </w:p>
        </w:tc>
      </w:tr>
      <w:tr w14:paraId="63F7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47259EB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C117604">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6</w:t>
            </w:r>
          </w:p>
        </w:tc>
        <w:tc>
          <w:tcPr>
            <w:tcW w:w="2623" w:type="dxa"/>
            <w:vMerge w:val="continue"/>
            <w:shd w:val="clear" w:color="auto" w:fill="auto"/>
            <w:vAlign w:val="center"/>
          </w:tcPr>
          <w:p w14:paraId="46DD1900">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02DC896B">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5Low-E+12A/Ar+5+12A/Ar+5</w:t>
            </w:r>
          </w:p>
        </w:tc>
        <w:tc>
          <w:tcPr>
            <w:tcW w:w="1418" w:type="dxa"/>
            <w:shd w:val="clear" w:color="auto" w:fill="auto"/>
            <w:vAlign w:val="center"/>
          </w:tcPr>
          <w:p w14:paraId="445EA47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w:t>
            </w:r>
            <w:r>
              <w:rPr>
                <w:rFonts w:hint="eastAsia" w:ascii="Times New Roman" w:hAnsi="Times New Roman" w:cs="Times New Roman"/>
                <w:kern w:val="0"/>
                <w:sz w:val="18"/>
                <w:szCs w:val="18"/>
              </w:rPr>
              <w:t>/</w:t>
            </w:r>
            <w:r>
              <w:rPr>
                <w:rFonts w:ascii="Times New Roman" w:hAnsi="Times New Roman" w:cs="Times New Roman"/>
                <w:kern w:val="0"/>
                <w:sz w:val="18"/>
                <w:szCs w:val="18"/>
              </w:rPr>
              <w:t>1.3</w:t>
            </w:r>
          </w:p>
        </w:tc>
        <w:tc>
          <w:tcPr>
            <w:tcW w:w="1192" w:type="dxa"/>
            <w:shd w:val="clear" w:color="auto" w:fill="auto"/>
            <w:vAlign w:val="center"/>
          </w:tcPr>
          <w:p w14:paraId="19E269C0">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52E5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91E4987">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7B6C10A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7</w:t>
            </w:r>
          </w:p>
        </w:tc>
        <w:tc>
          <w:tcPr>
            <w:tcW w:w="2623" w:type="dxa"/>
            <w:vMerge w:val="continue"/>
            <w:shd w:val="clear" w:color="auto" w:fill="auto"/>
            <w:vAlign w:val="center"/>
          </w:tcPr>
          <w:p w14:paraId="73452CB2">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39190C0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5Low-E+15A/Ar+5+15A/Ar+5</w:t>
            </w:r>
          </w:p>
        </w:tc>
        <w:tc>
          <w:tcPr>
            <w:tcW w:w="1418" w:type="dxa"/>
            <w:shd w:val="clear" w:color="auto" w:fill="auto"/>
            <w:vAlign w:val="center"/>
          </w:tcPr>
          <w:p w14:paraId="760D5150">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w:t>
            </w:r>
            <w:r>
              <w:rPr>
                <w:rFonts w:hint="eastAsia" w:ascii="Times New Roman" w:hAnsi="Times New Roman" w:cs="Times New Roman"/>
                <w:kern w:val="0"/>
                <w:sz w:val="18"/>
                <w:szCs w:val="18"/>
              </w:rPr>
              <w:t>/</w:t>
            </w:r>
            <w:r>
              <w:rPr>
                <w:rFonts w:ascii="Times New Roman" w:hAnsi="Times New Roman" w:cs="Times New Roman"/>
                <w:kern w:val="0"/>
                <w:sz w:val="18"/>
                <w:szCs w:val="18"/>
              </w:rPr>
              <w:t>1.3</w:t>
            </w:r>
          </w:p>
        </w:tc>
        <w:tc>
          <w:tcPr>
            <w:tcW w:w="1192" w:type="dxa"/>
            <w:shd w:val="clear" w:color="auto" w:fill="auto"/>
            <w:vAlign w:val="center"/>
          </w:tcPr>
          <w:p w14:paraId="45903A2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15D1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793AC5DF">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2B6C4A0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8</w:t>
            </w:r>
          </w:p>
        </w:tc>
        <w:tc>
          <w:tcPr>
            <w:tcW w:w="2623" w:type="dxa"/>
            <w:vMerge w:val="restart"/>
            <w:shd w:val="clear" w:color="auto" w:fill="auto"/>
            <w:vAlign w:val="center"/>
          </w:tcPr>
          <w:p w14:paraId="0E7C001C">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8</w:t>
            </w:r>
            <w:r>
              <w:rPr>
                <w:rFonts w:ascii="Times New Roman" w:hAnsi="Times New Roman" w:cs="Times New Roman"/>
                <w:kern w:val="0"/>
                <w:sz w:val="18"/>
                <w:szCs w:val="18"/>
              </w:rPr>
              <w:t>0</w:t>
            </w:r>
            <w:r>
              <w:rPr>
                <w:rFonts w:hint="eastAsia" w:ascii="Times New Roman" w:hAnsi="Times New Roman" w:cs="Times New Roman"/>
                <w:kern w:val="0"/>
                <w:sz w:val="18"/>
                <w:szCs w:val="18"/>
              </w:rPr>
              <w:t>系列平开窗</w:t>
            </w:r>
          </w:p>
        </w:tc>
        <w:tc>
          <w:tcPr>
            <w:tcW w:w="3035" w:type="dxa"/>
            <w:shd w:val="clear" w:color="auto" w:fill="auto"/>
            <w:vAlign w:val="center"/>
          </w:tcPr>
          <w:p w14:paraId="4944BD5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5Low-E+12A/Ar+5+12A/Ar+5</w:t>
            </w:r>
          </w:p>
        </w:tc>
        <w:tc>
          <w:tcPr>
            <w:tcW w:w="1418" w:type="dxa"/>
            <w:shd w:val="clear" w:color="auto" w:fill="auto"/>
            <w:vAlign w:val="center"/>
          </w:tcPr>
          <w:p w14:paraId="51727A7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.5</w:t>
            </w:r>
            <w:r>
              <w:rPr>
                <w:rFonts w:hint="eastAsia" w:ascii="Times New Roman" w:hAnsi="Times New Roman" w:cs="Times New Roman"/>
                <w:kern w:val="0"/>
                <w:sz w:val="18"/>
                <w:szCs w:val="18"/>
              </w:rPr>
              <w:t>/</w:t>
            </w:r>
            <w:r>
              <w:rPr>
                <w:rFonts w:ascii="Times New Roman" w:hAnsi="Times New Roman" w:cs="Times New Roman"/>
                <w:kern w:val="0"/>
                <w:sz w:val="18"/>
                <w:szCs w:val="18"/>
              </w:rPr>
              <w:t>1.4</w:t>
            </w:r>
          </w:p>
        </w:tc>
        <w:tc>
          <w:tcPr>
            <w:tcW w:w="1192" w:type="dxa"/>
            <w:shd w:val="clear" w:color="auto" w:fill="auto"/>
            <w:vAlign w:val="center"/>
          </w:tcPr>
          <w:p w14:paraId="24E010D6">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19E8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00AFE7AC">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168AB69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9</w:t>
            </w:r>
          </w:p>
        </w:tc>
        <w:tc>
          <w:tcPr>
            <w:tcW w:w="2623" w:type="dxa"/>
            <w:vMerge w:val="continue"/>
            <w:shd w:val="clear" w:color="auto" w:fill="auto"/>
            <w:vAlign w:val="center"/>
          </w:tcPr>
          <w:p w14:paraId="666FD39B">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59D2AFA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5Low-E+15A/Ar+5+15A/Ar+5</w:t>
            </w:r>
          </w:p>
        </w:tc>
        <w:tc>
          <w:tcPr>
            <w:tcW w:w="1418" w:type="dxa"/>
            <w:shd w:val="clear" w:color="auto" w:fill="auto"/>
            <w:vAlign w:val="center"/>
          </w:tcPr>
          <w:p w14:paraId="30C35EC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.4/1.3</w:t>
            </w:r>
          </w:p>
        </w:tc>
        <w:tc>
          <w:tcPr>
            <w:tcW w:w="1192" w:type="dxa"/>
            <w:shd w:val="clear" w:color="auto" w:fill="auto"/>
            <w:vAlign w:val="center"/>
          </w:tcPr>
          <w:p w14:paraId="1843AC8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1E29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3A9C90A">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44B7E8E">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w:t>
            </w:r>
            <w:r>
              <w:rPr>
                <w:rFonts w:ascii="Times New Roman" w:hAnsi="Times New Roman" w:cs="Times New Roman"/>
                <w:kern w:val="0"/>
                <w:sz w:val="18"/>
                <w:szCs w:val="18"/>
              </w:rPr>
              <w:t>0</w:t>
            </w:r>
          </w:p>
        </w:tc>
        <w:tc>
          <w:tcPr>
            <w:tcW w:w="2623" w:type="dxa"/>
            <w:shd w:val="clear" w:color="auto" w:fill="auto"/>
            <w:vAlign w:val="center"/>
          </w:tcPr>
          <w:p w14:paraId="60D9F6B6">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8</w:t>
            </w:r>
            <w:r>
              <w:rPr>
                <w:rFonts w:ascii="Times New Roman" w:hAnsi="Times New Roman" w:cs="Times New Roman"/>
                <w:kern w:val="0"/>
                <w:sz w:val="18"/>
                <w:szCs w:val="18"/>
              </w:rPr>
              <w:t>5</w:t>
            </w:r>
            <w:r>
              <w:rPr>
                <w:rFonts w:hint="eastAsia" w:ascii="Times New Roman" w:hAnsi="Times New Roman" w:cs="Times New Roman"/>
                <w:kern w:val="0"/>
                <w:sz w:val="18"/>
                <w:szCs w:val="18"/>
              </w:rPr>
              <w:t>系列平开窗</w:t>
            </w:r>
          </w:p>
        </w:tc>
        <w:tc>
          <w:tcPr>
            <w:tcW w:w="3035" w:type="dxa"/>
            <w:shd w:val="clear" w:color="auto" w:fill="auto"/>
            <w:vAlign w:val="center"/>
          </w:tcPr>
          <w:p w14:paraId="0E6043AE">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5Low-E+12A/Ar+5+12A/Ar+5</w:t>
            </w:r>
          </w:p>
        </w:tc>
        <w:tc>
          <w:tcPr>
            <w:tcW w:w="1418" w:type="dxa"/>
            <w:shd w:val="clear" w:color="auto" w:fill="auto"/>
            <w:vAlign w:val="center"/>
          </w:tcPr>
          <w:p w14:paraId="1015155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.4</w:t>
            </w:r>
            <w:r>
              <w:rPr>
                <w:rFonts w:hint="eastAsia" w:ascii="Times New Roman" w:hAnsi="Times New Roman" w:cs="Times New Roman"/>
                <w:kern w:val="0"/>
                <w:sz w:val="18"/>
                <w:szCs w:val="18"/>
              </w:rPr>
              <w:t>/</w:t>
            </w:r>
            <w:r>
              <w:rPr>
                <w:rFonts w:ascii="Times New Roman" w:hAnsi="Times New Roman" w:cs="Times New Roman"/>
                <w:kern w:val="0"/>
                <w:sz w:val="18"/>
                <w:szCs w:val="18"/>
              </w:rPr>
              <w:t>1.3</w:t>
            </w:r>
          </w:p>
        </w:tc>
        <w:tc>
          <w:tcPr>
            <w:tcW w:w="1192" w:type="dxa"/>
            <w:shd w:val="clear" w:color="auto" w:fill="auto"/>
            <w:vAlign w:val="center"/>
          </w:tcPr>
          <w:p w14:paraId="4525B4AF">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09FB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1992695E">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3E5A488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w:t>
            </w:r>
            <w:r>
              <w:rPr>
                <w:rFonts w:ascii="Times New Roman" w:hAnsi="Times New Roman" w:cs="Times New Roman"/>
                <w:kern w:val="0"/>
                <w:sz w:val="18"/>
                <w:szCs w:val="18"/>
              </w:rPr>
              <w:t>1</w:t>
            </w:r>
          </w:p>
        </w:tc>
        <w:tc>
          <w:tcPr>
            <w:tcW w:w="2623" w:type="dxa"/>
            <w:shd w:val="clear" w:color="auto" w:fill="auto"/>
            <w:vAlign w:val="center"/>
          </w:tcPr>
          <w:p w14:paraId="6B92E5B0">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9</w:t>
            </w:r>
            <w:r>
              <w:rPr>
                <w:rFonts w:ascii="Times New Roman" w:hAnsi="Times New Roman" w:cs="Times New Roman"/>
                <w:kern w:val="0"/>
                <w:sz w:val="18"/>
                <w:szCs w:val="18"/>
              </w:rPr>
              <w:t>0</w:t>
            </w:r>
            <w:r>
              <w:rPr>
                <w:rFonts w:hint="eastAsia" w:ascii="Times New Roman" w:hAnsi="Times New Roman" w:cs="Times New Roman"/>
                <w:kern w:val="0"/>
                <w:sz w:val="18"/>
                <w:szCs w:val="18"/>
              </w:rPr>
              <w:t>系列平开窗</w:t>
            </w:r>
          </w:p>
        </w:tc>
        <w:tc>
          <w:tcPr>
            <w:tcW w:w="3035" w:type="dxa"/>
            <w:shd w:val="clear" w:color="auto" w:fill="auto"/>
            <w:vAlign w:val="center"/>
          </w:tcPr>
          <w:p w14:paraId="4C205A7A">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5Low-E+16A/Ar+5+16A/Ar+5</w:t>
            </w:r>
          </w:p>
        </w:tc>
        <w:tc>
          <w:tcPr>
            <w:tcW w:w="1418" w:type="dxa"/>
            <w:shd w:val="clear" w:color="auto" w:fill="auto"/>
            <w:vAlign w:val="center"/>
          </w:tcPr>
          <w:p w14:paraId="51BF6372">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r>
              <w:rPr>
                <w:rFonts w:ascii="Times New Roman" w:hAnsi="Times New Roman" w:cs="Times New Roman"/>
                <w:kern w:val="0"/>
                <w:sz w:val="18"/>
                <w:szCs w:val="18"/>
              </w:rPr>
              <w:t>.35/1.30</w:t>
            </w:r>
          </w:p>
        </w:tc>
        <w:tc>
          <w:tcPr>
            <w:tcW w:w="1192" w:type="dxa"/>
            <w:shd w:val="clear" w:color="auto" w:fill="auto"/>
            <w:vAlign w:val="center"/>
          </w:tcPr>
          <w:p w14:paraId="70C06F21">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r w14:paraId="67F7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restart"/>
            <w:vAlign w:val="center"/>
          </w:tcPr>
          <w:p w14:paraId="7715D1AA">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铝塑</w:t>
            </w:r>
          </w:p>
          <w:p w14:paraId="43E04870">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共挤窗</w:t>
            </w:r>
          </w:p>
        </w:tc>
        <w:tc>
          <w:tcPr>
            <w:tcW w:w="610" w:type="dxa"/>
            <w:shd w:val="clear" w:color="auto" w:fill="auto"/>
            <w:noWrap/>
            <w:vAlign w:val="center"/>
          </w:tcPr>
          <w:p w14:paraId="150C9191">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w:t>
            </w:r>
          </w:p>
        </w:tc>
        <w:tc>
          <w:tcPr>
            <w:tcW w:w="2623" w:type="dxa"/>
            <w:vMerge w:val="restart"/>
            <w:shd w:val="clear" w:color="auto" w:fill="auto"/>
            <w:vAlign w:val="center"/>
          </w:tcPr>
          <w:p w14:paraId="58584E35">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70系列断桥铝衬平开窗</w:t>
            </w:r>
          </w:p>
        </w:tc>
        <w:tc>
          <w:tcPr>
            <w:tcW w:w="3035" w:type="dxa"/>
            <w:shd w:val="clear" w:color="auto" w:fill="auto"/>
            <w:vAlign w:val="center"/>
          </w:tcPr>
          <w:p w14:paraId="63E81D54">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r>
              <w:rPr>
                <w:rFonts w:ascii="Times New Roman" w:hAnsi="Times New Roman" w:cs="Times New Roman"/>
                <w:kern w:val="0"/>
                <w:sz w:val="18"/>
                <w:szCs w:val="18"/>
              </w:rPr>
              <w:t>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w:t>
            </w:r>
            <w:r>
              <w:rPr>
                <w:rFonts w:hint="eastAsia" w:ascii="Times New Roman" w:hAnsi="Times New Roman" w:cs="Times New Roman"/>
                <w:kern w:val="0"/>
                <w:sz w:val="18"/>
                <w:szCs w:val="18"/>
              </w:rPr>
              <w:t>6</w:t>
            </w:r>
          </w:p>
        </w:tc>
        <w:tc>
          <w:tcPr>
            <w:tcW w:w="1418" w:type="dxa"/>
            <w:shd w:val="clear" w:color="auto" w:fill="auto"/>
            <w:vAlign w:val="center"/>
          </w:tcPr>
          <w:p w14:paraId="7A015F88">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2.0</w:t>
            </w:r>
          </w:p>
        </w:tc>
        <w:tc>
          <w:tcPr>
            <w:tcW w:w="1192" w:type="dxa"/>
            <w:shd w:val="clear" w:color="auto" w:fill="auto"/>
            <w:vAlign w:val="center"/>
          </w:tcPr>
          <w:p w14:paraId="54A33465">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0C43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2F355DF8">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08E0495D">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2</w:t>
            </w:r>
          </w:p>
        </w:tc>
        <w:tc>
          <w:tcPr>
            <w:tcW w:w="2623" w:type="dxa"/>
            <w:vMerge w:val="continue"/>
            <w:shd w:val="clear" w:color="auto" w:fill="auto"/>
            <w:vAlign w:val="center"/>
          </w:tcPr>
          <w:p w14:paraId="15D1FE97">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3DC86327">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r>
              <w:rPr>
                <w:rFonts w:ascii="Times New Roman" w:hAnsi="Times New Roman" w:cs="Times New Roman"/>
                <w:kern w:val="0"/>
                <w:sz w:val="18"/>
                <w:szCs w:val="18"/>
              </w:rPr>
              <w:t>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+12A</w:t>
            </w:r>
            <w:r>
              <w:rPr>
                <w:rFonts w:hint="eastAsia" w:ascii="Times New Roman" w:hAnsi="Times New Roman" w:cs="Times New Roman"/>
                <w:kern w:val="0"/>
                <w:sz w:val="18"/>
                <w:szCs w:val="18"/>
              </w:rPr>
              <w:t>r</w:t>
            </w:r>
            <w:r>
              <w:rPr>
                <w:rFonts w:ascii="Times New Roman" w:hAnsi="Times New Roman" w:cs="Times New Roman"/>
                <w:kern w:val="0"/>
                <w:sz w:val="18"/>
                <w:szCs w:val="18"/>
              </w:rPr>
              <w:t>+</w:t>
            </w:r>
            <w:r>
              <w:rPr>
                <w:rFonts w:hint="eastAsia" w:ascii="Times New Roman" w:hAnsi="Times New Roman" w:cs="Times New Roman"/>
                <w:kern w:val="0"/>
                <w:sz w:val="18"/>
                <w:szCs w:val="18"/>
              </w:rPr>
              <w:t>6</w:t>
            </w:r>
          </w:p>
        </w:tc>
        <w:tc>
          <w:tcPr>
            <w:tcW w:w="1418" w:type="dxa"/>
            <w:shd w:val="clear" w:color="auto" w:fill="auto"/>
            <w:vAlign w:val="center"/>
          </w:tcPr>
          <w:p w14:paraId="5A0D814B">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1.8</w:t>
            </w:r>
          </w:p>
        </w:tc>
        <w:tc>
          <w:tcPr>
            <w:tcW w:w="1192" w:type="dxa"/>
            <w:shd w:val="clear" w:color="auto" w:fill="auto"/>
            <w:vAlign w:val="center"/>
          </w:tcPr>
          <w:p w14:paraId="4EC89A29">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0.35~0.39</w:t>
            </w:r>
          </w:p>
        </w:tc>
      </w:tr>
      <w:tr w14:paraId="4940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57" w:type="dxa"/>
            <w:bottom w:w="40" w:type="dxa"/>
            <w:right w:w="57" w:type="dxa"/>
          </w:tblCellMar>
        </w:tblPrEx>
        <w:trPr>
          <w:jc w:val="center"/>
        </w:trPr>
        <w:tc>
          <w:tcPr>
            <w:tcW w:w="874" w:type="dxa"/>
            <w:vMerge w:val="continue"/>
            <w:vAlign w:val="center"/>
          </w:tcPr>
          <w:p w14:paraId="0BBFA114">
            <w:pPr>
              <w:widowControl/>
              <w:overflowPunct w:val="0"/>
              <w:adjustRightInd w:val="0"/>
              <w:snapToGrid w:val="0"/>
              <w:jc w:val="left"/>
              <w:rPr>
                <w:rFonts w:ascii="Times New Roman" w:hAnsi="Times New Roman" w:cs="Times New Roman"/>
                <w:kern w:val="0"/>
                <w:sz w:val="18"/>
                <w:szCs w:val="18"/>
              </w:rPr>
            </w:pPr>
          </w:p>
        </w:tc>
        <w:tc>
          <w:tcPr>
            <w:tcW w:w="610" w:type="dxa"/>
            <w:shd w:val="clear" w:color="auto" w:fill="auto"/>
            <w:noWrap/>
            <w:vAlign w:val="center"/>
          </w:tcPr>
          <w:p w14:paraId="2FDB669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3</w:t>
            </w:r>
          </w:p>
        </w:tc>
        <w:tc>
          <w:tcPr>
            <w:tcW w:w="2623" w:type="dxa"/>
            <w:vMerge w:val="continue"/>
            <w:shd w:val="clear" w:color="auto" w:fill="auto"/>
            <w:vAlign w:val="center"/>
          </w:tcPr>
          <w:p w14:paraId="2F6FF0A8">
            <w:pPr>
              <w:widowControl/>
              <w:overflowPunct w:val="0"/>
              <w:adjustRightInd w:val="0"/>
              <w:snapToGrid w:val="0"/>
              <w:jc w:val="center"/>
              <w:rPr>
                <w:rFonts w:ascii="Times New Roman" w:hAnsi="Times New Roman" w:cs="Times New Roman"/>
                <w:kern w:val="0"/>
                <w:sz w:val="18"/>
                <w:szCs w:val="18"/>
              </w:rPr>
            </w:pPr>
          </w:p>
        </w:tc>
        <w:tc>
          <w:tcPr>
            <w:tcW w:w="3035" w:type="dxa"/>
            <w:shd w:val="clear" w:color="auto" w:fill="auto"/>
            <w:vAlign w:val="center"/>
          </w:tcPr>
          <w:p w14:paraId="11430B0E">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6</w:t>
            </w:r>
            <w:r>
              <w:rPr>
                <w:rFonts w:ascii="Times New Roman" w:hAnsi="Times New Roman" w:cs="Times New Roman"/>
                <w:kern w:val="0"/>
                <w:sz w:val="18"/>
                <w:szCs w:val="18"/>
              </w:rPr>
              <w:t>Low-E</w:t>
            </w:r>
            <w:r>
              <w:rPr>
                <w:rFonts w:hint="eastAsia" w:ascii="Times New Roman" w:hAnsi="Times New Roman" w:cs="Times New Roman"/>
                <w:kern w:val="0"/>
                <w:sz w:val="18"/>
                <w:szCs w:val="18"/>
              </w:rPr>
              <w:t>单银</w:t>
            </w:r>
            <w:r>
              <w:rPr>
                <w:rFonts w:ascii="Times New Roman" w:hAnsi="Times New Roman" w:cs="Times New Roman"/>
                <w:kern w:val="0"/>
                <w:sz w:val="18"/>
                <w:szCs w:val="18"/>
              </w:rPr>
              <w:t>+</w:t>
            </w:r>
            <w:r>
              <w:rPr>
                <w:rFonts w:hint="eastAsia" w:ascii="Times New Roman" w:hAnsi="Times New Roman" w:cs="Times New Roman"/>
                <w:kern w:val="0"/>
                <w:sz w:val="18"/>
                <w:szCs w:val="18"/>
              </w:rPr>
              <w:t>9</w:t>
            </w:r>
            <w:r>
              <w:rPr>
                <w:rFonts w:ascii="Times New Roman" w:hAnsi="Times New Roman" w:cs="Times New Roman"/>
                <w:kern w:val="0"/>
                <w:sz w:val="18"/>
                <w:szCs w:val="18"/>
              </w:rPr>
              <w:t>A</w:t>
            </w:r>
            <w:r>
              <w:rPr>
                <w:rFonts w:hint="eastAsia" w:ascii="Times New Roman" w:hAnsi="Times New Roman" w:cs="Times New Roman"/>
                <w:kern w:val="0"/>
                <w:sz w:val="18"/>
                <w:szCs w:val="18"/>
              </w:rPr>
              <w:t>r</w:t>
            </w:r>
            <w:r>
              <w:rPr>
                <w:rFonts w:ascii="Times New Roman" w:hAnsi="Times New Roman" w:cs="Times New Roman"/>
                <w:kern w:val="0"/>
                <w:sz w:val="18"/>
                <w:szCs w:val="18"/>
              </w:rPr>
              <w:t>+</w:t>
            </w:r>
            <w:r>
              <w:rPr>
                <w:rFonts w:hint="eastAsia" w:ascii="Times New Roman" w:hAnsi="Times New Roman" w:cs="Times New Roman"/>
                <w:kern w:val="0"/>
                <w:sz w:val="18"/>
                <w:szCs w:val="18"/>
              </w:rPr>
              <w:t>6</w:t>
            </w:r>
            <w:r>
              <w:rPr>
                <w:rFonts w:ascii="Times New Roman" w:hAnsi="Times New Roman" w:cs="Times New Roman"/>
                <w:kern w:val="0"/>
                <w:sz w:val="18"/>
                <w:szCs w:val="18"/>
              </w:rPr>
              <w:t>+</w:t>
            </w:r>
            <w:r>
              <w:rPr>
                <w:rFonts w:hint="eastAsia" w:ascii="Times New Roman" w:hAnsi="Times New Roman" w:cs="Times New Roman"/>
                <w:kern w:val="0"/>
                <w:sz w:val="18"/>
                <w:szCs w:val="18"/>
              </w:rPr>
              <w:t>9</w:t>
            </w:r>
            <w:r>
              <w:rPr>
                <w:rFonts w:ascii="Times New Roman" w:hAnsi="Times New Roman" w:cs="Times New Roman"/>
                <w:kern w:val="0"/>
                <w:sz w:val="18"/>
                <w:szCs w:val="18"/>
              </w:rPr>
              <w:t>A</w:t>
            </w:r>
            <w:r>
              <w:rPr>
                <w:rFonts w:hint="eastAsia" w:ascii="Times New Roman" w:hAnsi="Times New Roman" w:cs="Times New Roman"/>
                <w:kern w:val="0"/>
                <w:sz w:val="18"/>
                <w:szCs w:val="18"/>
              </w:rPr>
              <w:t>r</w:t>
            </w:r>
            <w:r>
              <w:rPr>
                <w:rFonts w:ascii="Times New Roman" w:hAnsi="Times New Roman" w:cs="Times New Roman"/>
                <w:kern w:val="0"/>
                <w:sz w:val="18"/>
                <w:szCs w:val="18"/>
              </w:rPr>
              <w:t>+</w:t>
            </w:r>
            <w:r>
              <w:rPr>
                <w:rFonts w:hint="eastAsia" w:ascii="Times New Roman" w:hAnsi="Times New Roman" w:cs="Times New Roman"/>
                <w:kern w:val="0"/>
                <w:sz w:val="18"/>
                <w:szCs w:val="18"/>
              </w:rPr>
              <w:t>6</w:t>
            </w:r>
          </w:p>
        </w:tc>
        <w:tc>
          <w:tcPr>
            <w:tcW w:w="1418" w:type="dxa"/>
            <w:shd w:val="clear" w:color="auto" w:fill="auto"/>
            <w:vAlign w:val="center"/>
          </w:tcPr>
          <w:p w14:paraId="335F90CF">
            <w:pPr>
              <w:widowControl/>
              <w:overflowPunct w:val="0"/>
              <w:adjustRightInd w:val="0"/>
              <w:snapToGrid w:val="0"/>
              <w:jc w:val="center"/>
              <w:rPr>
                <w:rFonts w:ascii="Times New Roman" w:hAnsi="Times New Roman" w:cs="Times New Roman"/>
                <w:kern w:val="0"/>
                <w:sz w:val="18"/>
                <w:szCs w:val="18"/>
              </w:rPr>
            </w:pPr>
            <w:r>
              <w:rPr>
                <w:rFonts w:hint="eastAsia" w:ascii="Times New Roman" w:hAnsi="Times New Roman" w:cs="Times New Roman"/>
                <w:kern w:val="0"/>
                <w:sz w:val="18"/>
                <w:szCs w:val="18"/>
              </w:rPr>
              <w:t>1.6</w:t>
            </w:r>
          </w:p>
        </w:tc>
        <w:tc>
          <w:tcPr>
            <w:tcW w:w="1192" w:type="dxa"/>
            <w:shd w:val="clear" w:color="auto" w:fill="auto"/>
            <w:vAlign w:val="center"/>
          </w:tcPr>
          <w:p w14:paraId="771DF484">
            <w:pPr>
              <w:widowControl/>
              <w:overflowPunct w:val="0"/>
              <w:adjustRightInd w:val="0"/>
              <w:snapToGrid w:val="0"/>
              <w:jc w:val="center"/>
              <w:rPr>
                <w:rFonts w:ascii="Times New Roman" w:hAnsi="Times New Roman" w:cs="Times New Roman"/>
                <w:kern w:val="0"/>
                <w:sz w:val="18"/>
                <w:szCs w:val="18"/>
              </w:rPr>
            </w:pPr>
            <w:r>
              <w:rPr>
                <w:rFonts w:ascii="Times New Roman" w:hAnsi="Times New Roman" w:cs="Times New Roman"/>
                <w:kern w:val="0"/>
                <w:sz w:val="18"/>
                <w:szCs w:val="18"/>
              </w:rPr>
              <w:t>0.30~0.37</w:t>
            </w:r>
          </w:p>
        </w:tc>
      </w:tr>
    </w:tbl>
    <w:p w14:paraId="0013674F">
      <w:pPr>
        <w:pStyle w:val="362"/>
        <w:overflowPunct w:val="0"/>
        <w:ind w:firstLine="0" w:firstLineChars="0"/>
        <w:rPr>
          <w:rFonts w:ascii="宋体" w:hAnsi="宋体" w:cs="宋体"/>
          <w:sz w:val="18"/>
          <w:szCs w:val="18"/>
        </w:rPr>
      </w:pPr>
      <w:r>
        <w:rPr>
          <w:rFonts w:ascii="Times New Roman" w:hAnsi="Times New Roman"/>
          <w:sz w:val="18"/>
          <w:szCs w:val="18"/>
        </w:rPr>
        <w:t>注</w:t>
      </w:r>
      <w:r>
        <w:rPr>
          <w:rFonts w:hint="eastAsia" w:ascii="Times New Roman" w:hAnsi="Times New Roman"/>
          <w:sz w:val="18"/>
          <w:szCs w:val="18"/>
        </w:rPr>
        <w:t>：</w:t>
      </w:r>
      <w:r>
        <w:rPr>
          <w:rFonts w:ascii="黑体" w:hAnsi="黑体" w:cs="宋体"/>
          <w:sz w:val="18"/>
          <w:szCs w:val="18"/>
        </w:rPr>
        <w:t>1</w:t>
      </w:r>
      <w:r>
        <w:rPr>
          <w:rFonts w:hint="eastAsia" w:ascii="宋体" w:hAnsi="宋体" w:cs="宋体"/>
          <w:sz w:val="18"/>
          <w:szCs w:val="18"/>
        </w:rPr>
        <w:t>　由于型材构造等存在差异，表格中给出的性能考虑大多数厂家产品的平均性能水平，未特殊设计的产品。</w:t>
      </w:r>
    </w:p>
    <w:p w14:paraId="7DBA6372">
      <w:pPr>
        <w:overflowPunct w:val="0"/>
        <w:ind w:firstLine="360" w:firstLineChars="200"/>
        <w:rPr>
          <w:rFonts w:ascii="宋体" w:hAnsi="宋体" w:cs="宋体"/>
          <w:sz w:val="18"/>
          <w:szCs w:val="18"/>
        </w:rPr>
      </w:pPr>
      <w:r>
        <w:rPr>
          <w:rFonts w:ascii="黑体" w:hAnsi="黑体" w:cs="宋体"/>
          <w:sz w:val="18"/>
          <w:szCs w:val="18"/>
        </w:rPr>
        <w:t>2</w:t>
      </w:r>
      <w:r>
        <w:rPr>
          <w:rFonts w:hint="eastAsia" w:ascii="宋体" w:hAnsi="宋体" w:cs="宋体"/>
          <w:sz w:val="18"/>
          <w:szCs w:val="18"/>
        </w:rPr>
        <w:t>　中空玻璃间隔条应采用高性能暖边条。</w:t>
      </w:r>
    </w:p>
    <w:p w14:paraId="23881165">
      <w:pPr>
        <w:overflowPunct w:val="0"/>
        <w:ind w:firstLine="360" w:firstLineChars="200"/>
        <w:rPr>
          <w:rFonts w:ascii="宋体" w:hAnsi="宋体" w:cs="宋体"/>
          <w:sz w:val="18"/>
          <w:szCs w:val="18"/>
        </w:rPr>
      </w:pPr>
      <w:r>
        <w:rPr>
          <w:rFonts w:ascii="黑体" w:hAnsi="黑体" w:cs="宋体"/>
          <w:sz w:val="18"/>
          <w:szCs w:val="18"/>
        </w:rPr>
        <w:t>3</w:t>
      </w:r>
      <w:r>
        <w:rPr>
          <w:rFonts w:hint="eastAsia" w:ascii="宋体" w:hAnsi="宋体" w:cs="宋体"/>
          <w:sz w:val="18"/>
          <w:szCs w:val="18"/>
        </w:rPr>
        <w:t>　表中玻璃厚度同样适用于</w:t>
      </w:r>
      <w:r>
        <w:rPr>
          <w:rFonts w:ascii="Times New Roman" w:hAnsi="Times New Roman" w:cs="Times New Roman"/>
          <w:sz w:val="18"/>
          <w:szCs w:val="18"/>
        </w:rPr>
        <w:t>5mm/6mm</w:t>
      </w:r>
      <w:r>
        <w:rPr>
          <w:rFonts w:hint="eastAsia" w:ascii="宋体" w:hAnsi="宋体" w:cs="宋体"/>
          <w:sz w:val="18"/>
          <w:szCs w:val="18"/>
        </w:rPr>
        <w:t>。</w:t>
      </w:r>
    </w:p>
    <w:p w14:paraId="52D60BD1">
      <w:pPr>
        <w:overflowPunct w:val="0"/>
        <w:ind w:firstLine="360" w:firstLineChars="200"/>
        <w:rPr>
          <w:rFonts w:ascii="宋体" w:hAnsi="宋体" w:cs="宋体"/>
          <w:sz w:val="18"/>
          <w:szCs w:val="18"/>
        </w:rPr>
      </w:pPr>
      <w:r>
        <w:rPr>
          <w:rFonts w:ascii="黑体" w:hAnsi="黑体" w:cs="宋体"/>
          <w:sz w:val="18"/>
          <w:szCs w:val="18"/>
        </w:rPr>
        <w:t>4</w:t>
      </w:r>
      <w:r>
        <w:rPr>
          <w:rFonts w:hint="eastAsia" w:ascii="宋体" w:hAnsi="宋体" w:cs="宋体"/>
          <w:sz w:val="18"/>
          <w:szCs w:val="18"/>
        </w:rPr>
        <w:t>　外窗（包含透光幕墙）本身的太阳得热系数和外遮阳构件的遮阳系数应按现行国家标准《民用建筑热工设计规范》</w:t>
      </w:r>
      <w:r>
        <w:rPr>
          <w:rFonts w:ascii="Times New Roman" w:hAnsi="Times New Roman" w:cs="Times New Roman"/>
          <w:sz w:val="18"/>
          <w:szCs w:val="18"/>
        </w:rPr>
        <w:t>GB50176</w:t>
      </w:r>
      <w:r>
        <w:rPr>
          <w:rFonts w:hint="eastAsia" w:ascii="宋体" w:hAnsi="宋体" w:cs="宋体"/>
          <w:sz w:val="18"/>
          <w:szCs w:val="18"/>
        </w:rPr>
        <w:t>的有关规定计算。</w:t>
      </w:r>
    </w:p>
    <w:p w14:paraId="66241EB0">
      <w:pPr>
        <w:overflowPunct w:val="0"/>
        <w:ind w:firstLine="360" w:firstLineChars="200"/>
        <w:rPr>
          <w:rFonts w:ascii="宋体" w:hAnsi="宋体" w:cs="宋体"/>
          <w:sz w:val="18"/>
          <w:szCs w:val="18"/>
        </w:rPr>
      </w:pPr>
      <w:r>
        <w:rPr>
          <w:rFonts w:ascii="黑体" w:hAnsi="黑体" w:cs="宋体"/>
          <w:sz w:val="18"/>
          <w:szCs w:val="18"/>
        </w:rPr>
        <w:t>5</w:t>
      </w:r>
      <w:r>
        <w:rPr>
          <w:rFonts w:hint="eastAsia" w:ascii="宋体" w:hAnsi="宋体" w:cs="宋体"/>
          <w:sz w:val="18"/>
          <w:szCs w:val="18"/>
        </w:rPr>
        <w:t>　玻璃配置从室外侧到室内侧表述；双片</w:t>
      </w:r>
      <w:r>
        <w:rPr>
          <w:rFonts w:ascii="Times New Roman" w:hAnsi="Times New Roman" w:cs="Times New Roman"/>
          <w:sz w:val="18"/>
          <w:szCs w:val="18"/>
        </w:rPr>
        <w:t>Low-E</w:t>
      </w:r>
      <w:r>
        <w:rPr>
          <w:rFonts w:hint="eastAsia" w:ascii="宋体" w:hAnsi="宋体" w:cs="宋体"/>
          <w:sz w:val="18"/>
          <w:szCs w:val="18"/>
        </w:rPr>
        <w:t>膜的中空玻璃膜层一般位于</w:t>
      </w:r>
      <w:r>
        <w:rPr>
          <w:rFonts w:ascii="Times New Roman" w:hAnsi="Times New Roman" w:cs="Times New Roman"/>
          <w:sz w:val="18"/>
          <w:szCs w:val="18"/>
        </w:rPr>
        <w:t>2、4</w:t>
      </w:r>
      <w:r>
        <w:rPr>
          <w:rFonts w:hint="eastAsia" w:ascii="宋体" w:hAnsi="宋体" w:cs="宋体"/>
          <w:sz w:val="18"/>
          <w:szCs w:val="18"/>
        </w:rPr>
        <w:t>面或</w:t>
      </w:r>
      <w:r>
        <w:rPr>
          <w:rFonts w:ascii="Times New Roman" w:hAnsi="Times New Roman" w:cs="Times New Roman"/>
          <w:sz w:val="18"/>
          <w:szCs w:val="18"/>
        </w:rPr>
        <w:t>3、5</w:t>
      </w:r>
      <w:r>
        <w:rPr>
          <w:rFonts w:hint="eastAsia" w:ascii="宋体" w:hAnsi="宋体" w:cs="宋体"/>
          <w:sz w:val="18"/>
          <w:szCs w:val="18"/>
        </w:rPr>
        <w:t>面；真空复合中空玻璃中真空玻璃应位于室内侧，且</w:t>
      </w:r>
      <w:r>
        <w:rPr>
          <w:rFonts w:ascii="Times New Roman" w:hAnsi="Times New Roman" w:cs="Times New Roman"/>
          <w:sz w:val="18"/>
          <w:szCs w:val="18"/>
        </w:rPr>
        <w:t>Low-E</w:t>
      </w:r>
      <w:r>
        <w:rPr>
          <w:rFonts w:hint="eastAsia" w:ascii="宋体" w:hAnsi="宋体" w:cs="宋体"/>
          <w:sz w:val="18"/>
          <w:szCs w:val="18"/>
        </w:rPr>
        <w:t>膜一般位于第</w:t>
      </w:r>
      <w:r>
        <w:rPr>
          <w:rFonts w:ascii="Times New Roman" w:hAnsi="Times New Roman" w:cs="Times New Roman"/>
          <w:sz w:val="18"/>
          <w:szCs w:val="18"/>
        </w:rPr>
        <w:t>4</w:t>
      </w:r>
      <w:r>
        <w:rPr>
          <w:rFonts w:hint="eastAsia" w:ascii="宋体" w:hAnsi="宋体" w:cs="宋体"/>
          <w:sz w:val="18"/>
          <w:szCs w:val="18"/>
        </w:rPr>
        <w:t>面。</w:t>
      </w:r>
    </w:p>
    <w:p w14:paraId="15606D76">
      <w:pPr>
        <w:overflowPunct w:val="0"/>
        <w:ind w:firstLine="360" w:firstLineChars="200"/>
        <w:rPr>
          <w:rFonts w:ascii="宋体" w:hAnsi="宋体" w:cs="宋体"/>
          <w:sz w:val="18"/>
          <w:szCs w:val="18"/>
        </w:rPr>
      </w:pPr>
      <w:r>
        <w:rPr>
          <w:rFonts w:ascii="黑体" w:hAnsi="黑体" w:cs="宋体"/>
          <w:sz w:val="18"/>
          <w:szCs w:val="18"/>
        </w:rPr>
        <w:t>6</w:t>
      </w:r>
      <w:r>
        <w:rPr>
          <w:rFonts w:hint="eastAsia" w:ascii="宋体" w:hAnsi="宋体" w:cs="宋体"/>
          <w:sz w:val="18"/>
          <w:szCs w:val="18"/>
        </w:rPr>
        <w:t>　塑料型材宽度≥</w:t>
      </w:r>
      <w:r>
        <w:rPr>
          <w:rFonts w:ascii="Times New Roman" w:hAnsi="Times New Roman" w:cs="Times New Roman"/>
          <w:sz w:val="18"/>
          <w:szCs w:val="18"/>
        </w:rPr>
        <w:t>82mm</w:t>
      </w:r>
      <w:r>
        <w:rPr>
          <w:rFonts w:hint="eastAsia" w:ascii="宋体" w:hAnsi="宋体" w:cs="宋体"/>
          <w:sz w:val="18"/>
          <w:szCs w:val="18"/>
        </w:rPr>
        <w:t>时，应为</w:t>
      </w:r>
      <w:r>
        <w:rPr>
          <w:rFonts w:ascii="Times New Roman" w:hAnsi="Times New Roman" w:cs="Times New Roman"/>
          <w:sz w:val="18"/>
          <w:szCs w:val="18"/>
        </w:rPr>
        <w:t>6</w:t>
      </w:r>
      <w:r>
        <w:rPr>
          <w:rFonts w:hint="eastAsia" w:ascii="宋体" w:hAnsi="宋体" w:cs="宋体"/>
          <w:sz w:val="18"/>
          <w:szCs w:val="18"/>
        </w:rPr>
        <w:t>腔室及以上型材。</w:t>
      </w:r>
      <w:r>
        <w:rPr>
          <w:rFonts w:ascii="Times New Roman" w:hAnsi="Times New Roman" w:cs="Times New Roman"/>
          <w:sz w:val="18"/>
          <w:szCs w:val="18"/>
        </w:rPr>
        <w:t>80</w:t>
      </w:r>
      <w:r>
        <w:rPr>
          <w:rFonts w:hint="eastAsia" w:ascii="宋体" w:hAnsi="宋体" w:cs="宋体"/>
          <w:sz w:val="18"/>
          <w:szCs w:val="18"/>
        </w:rPr>
        <w:t>系列隔热铝合金型材隔热条截面高度≥</w:t>
      </w:r>
      <w:r>
        <w:rPr>
          <w:rFonts w:ascii="Times New Roman" w:hAnsi="Times New Roman" w:cs="Times New Roman"/>
          <w:sz w:val="18"/>
          <w:szCs w:val="18"/>
        </w:rPr>
        <w:t>44mm</w:t>
      </w:r>
      <w:r>
        <w:rPr>
          <w:rFonts w:hint="eastAsia" w:ascii="宋体" w:hAnsi="宋体" w:cs="宋体"/>
          <w:sz w:val="18"/>
          <w:szCs w:val="18"/>
        </w:rPr>
        <w:t>，</w:t>
      </w:r>
      <w:r>
        <w:rPr>
          <w:rFonts w:ascii="Times New Roman" w:hAnsi="Times New Roman" w:cs="Times New Roman"/>
          <w:sz w:val="18"/>
          <w:szCs w:val="18"/>
        </w:rPr>
        <w:t>90</w:t>
      </w:r>
      <w:r>
        <w:rPr>
          <w:rFonts w:hint="eastAsia" w:ascii="宋体" w:hAnsi="宋体" w:cs="宋体"/>
          <w:sz w:val="18"/>
          <w:szCs w:val="18"/>
        </w:rPr>
        <w:t>系列隔热铝合金型材隔热条截面高度≥</w:t>
      </w:r>
      <w:r>
        <w:rPr>
          <w:rFonts w:ascii="Times New Roman" w:hAnsi="Times New Roman" w:cs="Times New Roman"/>
          <w:sz w:val="18"/>
          <w:szCs w:val="18"/>
        </w:rPr>
        <w:t>54mm</w:t>
      </w:r>
      <w:r>
        <w:rPr>
          <w:rFonts w:hint="eastAsia" w:ascii="宋体" w:hAnsi="宋体" w:cs="宋体"/>
          <w:sz w:val="18"/>
          <w:szCs w:val="18"/>
        </w:rPr>
        <w:t>，</w:t>
      </w:r>
      <w:r>
        <w:rPr>
          <w:rFonts w:ascii="Times New Roman" w:hAnsi="Times New Roman" w:cs="Times New Roman"/>
          <w:sz w:val="18"/>
          <w:szCs w:val="18"/>
        </w:rPr>
        <w:t>100</w:t>
      </w:r>
      <w:r>
        <w:rPr>
          <w:rFonts w:hint="eastAsia" w:ascii="宋体" w:hAnsi="宋体" w:cs="宋体"/>
          <w:sz w:val="18"/>
          <w:szCs w:val="18"/>
        </w:rPr>
        <w:t>系列隔热铝合金型材隔热条截面高度≥</w:t>
      </w:r>
      <w:r>
        <w:rPr>
          <w:rFonts w:ascii="Times New Roman" w:hAnsi="Times New Roman" w:cs="Times New Roman"/>
          <w:sz w:val="18"/>
          <w:szCs w:val="18"/>
        </w:rPr>
        <w:t>64mm</w:t>
      </w:r>
      <w:r>
        <w:rPr>
          <w:rFonts w:hint="eastAsia" w:ascii="宋体" w:hAnsi="宋体" w:cs="宋体"/>
          <w:sz w:val="18"/>
          <w:szCs w:val="18"/>
        </w:rPr>
        <w:t>，且隔热条中间空腔需填充泡沫材料。表中铝木复合窗指以木型材为主受力构件的铝木复合窗。</w:t>
      </w:r>
    </w:p>
    <w:p w14:paraId="6455D3B3">
      <w:pPr>
        <w:overflowPunct w:val="0"/>
        <w:ind w:firstLine="360" w:firstLineChars="200"/>
        <w:rPr>
          <w:rFonts w:asciiTheme="minorEastAsia" w:hAnsiTheme="minorEastAsia" w:eastAsiaTheme="minorEastAsia"/>
        </w:rPr>
      </w:pPr>
      <w:r>
        <w:rPr>
          <w:rFonts w:ascii="黑体" w:hAnsi="黑体" w:cs="宋体"/>
          <w:sz w:val="18"/>
          <w:szCs w:val="18"/>
        </w:rPr>
        <w:t>7</w:t>
      </w:r>
      <w:r>
        <w:rPr>
          <w:rFonts w:hint="eastAsia" w:ascii="宋体" w:hAnsi="宋体" w:cs="宋体"/>
          <w:sz w:val="18"/>
          <w:szCs w:val="18"/>
        </w:rPr>
        <w:t>　表中按</w:t>
      </w:r>
      <w:r>
        <w:rPr>
          <w:rFonts w:ascii="Times New Roman" w:hAnsi="Times New Roman" w:cs="Times New Roman"/>
          <w:sz w:val="18"/>
          <w:szCs w:val="18"/>
        </w:rPr>
        <w:t>1500mm×1500mm</w:t>
      </w:r>
      <w:r>
        <w:rPr>
          <w:rFonts w:hint="eastAsia" w:ascii="宋体" w:hAnsi="宋体" w:cs="宋体"/>
          <w:sz w:val="18"/>
          <w:szCs w:val="18"/>
        </w:rPr>
        <w:t>的左开启右固定内平开窗，玻璃面积占整窗面积的</w:t>
      </w:r>
      <w:r>
        <w:rPr>
          <w:rFonts w:ascii="Times New Roman" w:hAnsi="Times New Roman" w:cs="Times New Roman"/>
          <w:sz w:val="18"/>
          <w:szCs w:val="18"/>
        </w:rPr>
        <w:t>70%</w:t>
      </w:r>
      <w:r>
        <w:rPr>
          <w:rFonts w:hint="eastAsia" w:ascii="宋体" w:hAnsi="宋体" w:cs="宋体"/>
          <w:sz w:val="18"/>
          <w:szCs w:val="18"/>
        </w:rPr>
        <w:t>的窗型进行配置。当窗型和尺寸变化时，应重新进行热工计算或检测确定。</w:t>
      </w:r>
    </w:p>
    <w:p w14:paraId="275129FC">
      <w:pPr>
        <w:pStyle w:val="276"/>
        <w:numPr>
          <w:ilvl w:val="1"/>
          <w:numId w:val="59"/>
        </w:numPr>
        <w:tabs>
          <w:tab w:val="left" w:pos="360"/>
        </w:tabs>
        <w:spacing w:before="156" w:after="156"/>
      </w:pPr>
      <w:bookmarkStart w:id="71" w:name="_Toc16501"/>
      <w:bookmarkStart w:id="72" w:name="_Toc2950944"/>
      <w:r>
        <w:t>气密性材料</w:t>
      </w:r>
      <w:bookmarkEnd w:id="71"/>
      <w:bookmarkEnd w:id="72"/>
    </w:p>
    <w:p w14:paraId="078AC679">
      <w:pPr>
        <w:pStyle w:val="277"/>
        <w:numPr>
          <w:ilvl w:val="2"/>
          <w:numId w:val="59"/>
        </w:numPr>
        <w:spacing w:before="0" w:beforeLines="0" w:after="0" w:afterLines="0"/>
        <w:rPr>
          <w:rFonts w:hAnsi="黑体" w:eastAsia="宋体"/>
        </w:rPr>
      </w:pPr>
      <w:r>
        <w:rPr>
          <w:rFonts w:hAnsi="黑体" w:eastAsia="宋体"/>
        </w:rPr>
        <w:t>气密性材料的选择应符合下列要求：</w:t>
      </w:r>
    </w:p>
    <w:p w14:paraId="1CAE496E">
      <w:pPr>
        <w:pStyle w:val="258"/>
        <w:tabs>
          <w:tab w:val="center" w:pos="4201"/>
          <w:tab w:val="right" w:leader="dot" w:pos="9298"/>
        </w:tabs>
        <w:ind w:firstLine="420"/>
        <w:rPr>
          <w:rFonts w:ascii="Times New Roman"/>
          <w:bCs/>
          <w:szCs w:val="22"/>
        </w:rPr>
      </w:pPr>
      <w:r>
        <w:rPr>
          <w:rFonts w:ascii="Times New Roman"/>
          <w:bCs/>
          <w:szCs w:val="22"/>
        </w:rPr>
        <w:t>1.应选择适用的气密性材料构成气密层，常见的可构成气密层的材料包括一定厚度的抹灰层、硬质的材料板（如密度板、石材）、气密性薄膜等。孔眼薄膜、保温材料、软木纤维板、刨花板、砌块墙体等不适于用做气密层</w:t>
      </w:r>
      <w:r>
        <w:rPr>
          <w:rFonts w:hint="eastAsia" w:ascii="Times New Roman"/>
          <w:bCs/>
          <w:szCs w:val="22"/>
        </w:rPr>
        <w:t>；</w:t>
      </w:r>
    </w:p>
    <w:p w14:paraId="4422B9C2">
      <w:pPr>
        <w:pStyle w:val="258"/>
        <w:tabs>
          <w:tab w:val="center" w:pos="4201"/>
          <w:tab w:val="right" w:leader="dot" w:pos="9298"/>
        </w:tabs>
        <w:ind w:firstLine="420"/>
        <w:rPr>
          <w:rFonts w:ascii="Times New Roman"/>
          <w:bCs/>
          <w:szCs w:val="22"/>
        </w:rPr>
      </w:pPr>
      <w:r>
        <w:rPr>
          <w:rFonts w:ascii="Times New Roman"/>
          <w:bCs/>
          <w:szCs w:val="22"/>
        </w:rPr>
        <w:t>2.普通墙体结构（砌块、剪力墙等）宜采用连续的抹灰层构成气密层；轻质结构（木结构等）应在内侧安装气密膜或气密板以形成气密层；</w:t>
      </w:r>
    </w:p>
    <w:p w14:paraId="1968F238">
      <w:pPr>
        <w:pStyle w:val="258"/>
        <w:tabs>
          <w:tab w:val="center" w:pos="4201"/>
          <w:tab w:val="right" w:leader="dot" w:pos="9298"/>
        </w:tabs>
        <w:ind w:firstLine="420"/>
        <w:rPr>
          <w:rFonts w:ascii="Times New Roman"/>
          <w:bCs/>
          <w:szCs w:val="22"/>
        </w:rPr>
      </w:pPr>
      <w:r>
        <w:rPr>
          <w:rFonts w:ascii="Times New Roman"/>
          <w:bCs/>
          <w:szCs w:val="22"/>
        </w:rPr>
        <w:t>3.应选择适用的气密性材料做节点气密性处理，如紧实完整的混凝土、气密性薄膜、专用膨胀密封条、专用气密性处理涂料等材料；包装胶带、聚氨酯发泡、防水硅胶等材料不适合做节点气密性处理材料。</w:t>
      </w:r>
    </w:p>
    <w:p w14:paraId="4673CB0B">
      <w:pPr>
        <w:pStyle w:val="277"/>
        <w:numPr>
          <w:ilvl w:val="2"/>
          <w:numId w:val="59"/>
        </w:numPr>
        <w:spacing w:before="0" w:beforeLines="0" w:after="0" w:afterLines="0"/>
        <w:rPr>
          <w:rFonts w:hAnsi="黑体" w:eastAsia="宋体"/>
        </w:rPr>
      </w:pPr>
      <w:r>
        <w:rPr>
          <w:rFonts w:hAnsi="黑体" w:eastAsia="宋体"/>
        </w:rPr>
        <w:t>气密性材料的性能指标应符合下列要求：</w:t>
      </w:r>
    </w:p>
    <w:p w14:paraId="16E96143">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表 C.</w:t>
      </w:r>
      <w:r>
        <w:rPr>
          <w:rFonts w:hint="eastAsia" w:ascii="黑体" w:hAnsi="黑体" w:eastAsia="黑体" w:cs="黑体"/>
          <w:color w:val="000000"/>
          <w:szCs w:val="21"/>
          <w:lang w:val="en-US" w:eastAsia="zh-CN"/>
        </w:rPr>
        <w:t>3.2-1</w:t>
      </w:r>
      <w:r>
        <w:rPr>
          <w:rFonts w:ascii="黑体" w:hAnsi="黑体" w:eastAsia="黑体" w:cs="黑体"/>
          <w:color w:val="000000"/>
          <w:szCs w:val="21"/>
        </w:rPr>
        <w:t xml:space="preserve">  预压膨胀密封带的性能指标</w:t>
      </w:r>
    </w:p>
    <w:tbl>
      <w:tblPr>
        <w:tblStyle w:val="88"/>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1398"/>
        <w:gridCol w:w="1865"/>
        <w:gridCol w:w="4251"/>
      </w:tblGrid>
      <w:tr w14:paraId="077C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0" w:type="dxa"/>
            <w:gridSpan w:val="2"/>
            <w:vAlign w:val="center"/>
          </w:tcPr>
          <w:p w14:paraId="5A885445">
            <w:pPr>
              <w:jc w:val="center"/>
              <w:rPr>
                <w:color w:val="000000"/>
                <w:sz w:val="18"/>
                <w:szCs w:val="18"/>
              </w:rPr>
            </w:pPr>
            <w:r>
              <w:rPr>
                <w:color w:val="000000"/>
                <w:sz w:val="18"/>
                <w:szCs w:val="18"/>
              </w:rPr>
              <w:t>项目</w:t>
            </w:r>
          </w:p>
        </w:tc>
        <w:tc>
          <w:tcPr>
            <w:tcW w:w="1865" w:type="dxa"/>
            <w:vAlign w:val="center"/>
          </w:tcPr>
          <w:p w14:paraId="40C37C34">
            <w:pPr>
              <w:jc w:val="center"/>
              <w:rPr>
                <w:color w:val="000000"/>
                <w:sz w:val="18"/>
                <w:szCs w:val="18"/>
              </w:rPr>
            </w:pPr>
            <w:r>
              <w:rPr>
                <w:color w:val="000000"/>
                <w:sz w:val="18"/>
                <w:szCs w:val="18"/>
              </w:rPr>
              <w:t>单位</w:t>
            </w:r>
          </w:p>
        </w:tc>
        <w:tc>
          <w:tcPr>
            <w:tcW w:w="4251" w:type="dxa"/>
            <w:vAlign w:val="center"/>
          </w:tcPr>
          <w:p w14:paraId="5C8A13CA">
            <w:pPr>
              <w:jc w:val="center"/>
              <w:rPr>
                <w:color w:val="000000"/>
                <w:sz w:val="18"/>
                <w:szCs w:val="18"/>
              </w:rPr>
            </w:pPr>
            <w:r>
              <w:rPr>
                <w:color w:val="000000"/>
                <w:sz w:val="18"/>
                <w:szCs w:val="18"/>
              </w:rPr>
              <w:t>性能指标</w:t>
            </w:r>
          </w:p>
        </w:tc>
      </w:tr>
      <w:tr w14:paraId="25FA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0" w:type="dxa"/>
            <w:gridSpan w:val="2"/>
            <w:vAlign w:val="center"/>
          </w:tcPr>
          <w:p w14:paraId="5FF387F0">
            <w:pPr>
              <w:jc w:val="center"/>
              <w:rPr>
                <w:color w:val="000000"/>
                <w:sz w:val="18"/>
                <w:szCs w:val="18"/>
              </w:rPr>
            </w:pPr>
            <w:r>
              <w:rPr>
                <w:color w:val="000000"/>
                <w:sz w:val="18"/>
                <w:szCs w:val="18"/>
              </w:rPr>
              <w:t>氧指数</w:t>
            </w:r>
          </w:p>
        </w:tc>
        <w:tc>
          <w:tcPr>
            <w:tcW w:w="1865" w:type="dxa"/>
            <w:vAlign w:val="center"/>
          </w:tcPr>
          <w:p w14:paraId="71671898">
            <w:pPr>
              <w:jc w:val="center"/>
              <w:rPr>
                <w:color w:val="000000"/>
                <w:sz w:val="18"/>
                <w:szCs w:val="18"/>
              </w:rPr>
            </w:pPr>
            <w:r>
              <w:rPr>
                <w:color w:val="000000"/>
                <w:sz w:val="18"/>
                <w:szCs w:val="18"/>
              </w:rPr>
              <w:t>%</w:t>
            </w:r>
          </w:p>
        </w:tc>
        <w:tc>
          <w:tcPr>
            <w:tcW w:w="4251" w:type="dxa"/>
            <w:vAlign w:val="center"/>
          </w:tcPr>
          <w:p w14:paraId="1629FB1F">
            <w:pPr>
              <w:jc w:val="center"/>
              <w:rPr>
                <w:color w:val="000000"/>
                <w:sz w:val="18"/>
                <w:szCs w:val="18"/>
              </w:rPr>
            </w:pPr>
            <w:r>
              <w:rPr>
                <w:color w:val="000000"/>
                <w:sz w:val="18"/>
                <w:szCs w:val="18"/>
              </w:rPr>
              <w:t>≥30</w:t>
            </w:r>
          </w:p>
        </w:tc>
      </w:tr>
      <w:tr w14:paraId="3097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dxa"/>
            <w:vMerge w:val="restart"/>
            <w:vAlign w:val="center"/>
          </w:tcPr>
          <w:p w14:paraId="3F8BBFE0">
            <w:pPr>
              <w:jc w:val="center"/>
              <w:rPr>
                <w:color w:val="000000"/>
                <w:sz w:val="18"/>
                <w:szCs w:val="18"/>
              </w:rPr>
            </w:pPr>
            <w:r>
              <w:rPr>
                <w:color w:val="000000"/>
                <w:sz w:val="18"/>
                <w:szCs w:val="18"/>
              </w:rPr>
              <w:t>抗暴风雨强度</w:t>
            </w:r>
          </w:p>
        </w:tc>
        <w:tc>
          <w:tcPr>
            <w:tcW w:w="1398" w:type="dxa"/>
            <w:vAlign w:val="center"/>
          </w:tcPr>
          <w:p w14:paraId="755317DE">
            <w:pPr>
              <w:jc w:val="center"/>
              <w:rPr>
                <w:color w:val="000000"/>
                <w:sz w:val="18"/>
                <w:szCs w:val="18"/>
              </w:rPr>
            </w:pPr>
            <w:r>
              <w:rPr>
                <w:color w:val="000000"/>
                <w:sz w:val="18"/>
                <w:szCs w:val="18"/>
              </w:rPr>
              <w:t>I型</w:t>
            </w:r>
          </w:p>
        </w:tc>
        <w:tc>
          <w:tcPr>
            <w:tcW w:w="1865" w:type="dxa"/>
            <w:vAlign w:val="center"/>
          </w:tcPr>
          <w:p w14:paraId="08DF1AA2">
            <w:pPr>
              <w:jc w:val="center"/>
              <w:rPr>
                <w:color w:val="000000"/>
                <w:sz w:val="18"/>
                <w:szCs w:val="18"/>
              </w:rPr>
            </w:pPr>
            <w:r>
              <w:rPr>
                <w:color w:val="000000"/>
                <w:sz w:val="18"/>
                <w:szCs w:val="18"/>
              </w:rPr>
              <w:t>/</w:t>
            </w:r>
          </w:p>
        </w:tc>
        <w:tc>
          <w:tcPr>
            <w:tcW w:w="4251" w:type="dxa"/>
            <w:vAlign w:val="center"/>
          </w:tcPr>
          <w:p w14:paraId="065877F7">
            <w:pPr>
              <w:jc w:val="center"/>
              <w:rPr>
                <w:color w:val="000000"/>
                <w:sz w:val="18"/>
                <w:szCs w:val="18"/>
              </w:rPr>
            </w:pPr>
            <w:r>
              <w:rPr>
                <w:color w:val="000000"/>
                <w:sz w:val="18"/>
                <w:szCs w:val="18"/>
              </w:rPr>
              <w:t>最大承受300Pa</w:t>
            </w:r>
          </w:p>
        </w:tc>
      </w:tr>
      <w:tr w14:paraId="4EB1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dxa"/>
            <w:vMerge w:val="continue"/>
            <w:vAlign w:val="center"/>
          </w:tcPr>
          <w:p w14:paraId="5D00A713">
            <w:pPr>
              <w:jc w:val="center"/>
              <w:rPr>
                <w:color w:val="000000"/>
                <w:sz w:val="18"/>
                <w:szCs w:val="18"/>
              </w:rPr>
            </w:pPr>
          </w:p>
        </w:tc>
        <w:tc>
          <w:tcPr>
            <w:tcW w:w="1398" w:type="dxa"/>
            <w:vAlign w:val="center"/>
          </w:tcPr>
          <w:p w14:paraId="60896D03">
            <w:pPr>
              <w:jc w:val="center"/>
              <w:rPr>
                <w:color w:val="000000"/>
                <w:sz w:val="18"/>
                <w:szCs w:val="18"/>
              </w:rPr>
            </w:pPr>
            <w:r>
              <w:rPr>
                <w:color w:val="000000"/>
                <w:sz w:val="18"/>
                <w:szCs w:val="18"/>
              </w:rPr>
              <w:t>II型</w:t>
            </w:r>
          </w:p>
        </w:tc>
        <w:tc>
          <w:tcPr>
            <w:tcW w:w="1865" w:type="dxa"/>
            <w:vAlign w:val="center"/>
          </w:tcPr>
          <w:p w14:paraId="75CDF41E">
            <w:pPr>
              <w:jc w:val="center"/>
              <w:rPr>
                <w:color w:val="000000"/>
                <w:sz w:val="18"/>
                <w:szCs w:val="18"/>
              </w:rPr>
            </w:pPr>
            <w:r>
              <w:rPr>
                <w:color w:val="000000"/>
                <w:sz w:val="18"/>
                <w:szCs w:val="18"/>
              </w:rPr>
              <w:t>/</w:t>
            </w:r>
          </w:p>
        </w:tc>
        <w:tc>
          <w:tcPr>
            <w:tcW w:w="4251" w:type="dxa"/>
            <w:vAlign w:val="center"/>
          </w:tcPr>
          <w:p w14:paraId="6EB9C54C">
            <w:pPr>
              <w:jc w:val="center"/>
              <w:rPr>
                <w:color w:val="000000"/>
                <w:sz w:val="18"/>
                <w:szCs w:val="18"/>
              </w:rPr>
            </w:pPr>
            <w:r>
              <w:rPr>
                <w:color w:val="000000"/>
                <w:sz w:val="18"/>
                <w:szCs w:val="18"/>
              </w:rPr>
              <w:t>最大承受600Pa</w:t>
            </w:r>
          </w:p>
        </w:tc>
      </w:tr>
      <w:tr w14:paraId="62CF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0" w:type="dxa"/>
            <w:gridSpan w:val="2"/>
            <w:vAlign w:val="center"/>
          </w:tcPr>
          <w:p w14:paraId="184FFDA1">
            <w:pPr>
              <w:jc w:val="center"/>
              <w:rPr>
                <w:color w:val="000000"/>
                <w:sz w:val="18"/>
                <w:szCs w:val="18"/>
              </w:rPr>
            </w:pPr>
            <w:r>
              <w:rPr>
                <w:color w:val="000000"/>
                <w:sz w:val="18"/>
                <w:szCs w:val="18"/>
              </w:rPr>
              <w:t>耐久性</w:t>
            </w:r>
          </w:p>
        </w:tc>
        <w:tc>
          <w:tcPr>
            <w:tcW w:w="1865" w:type="dxa"/>
            <w:vAlign w:val="center"/>
          </w:tcPr>
          <w:p w14:paraId="12456E5D">
            <w:pPr>
              <w:jc w:val="center"/>
              <w:rPr>
                <w:color w:val="000000"/>
                <w:sz w:val="18"/>
                <w:szCs w:val="18"/>
              </w:rPr>
            </w:pPr>
            <w:r>
              <w:rPr>
                <w:color w:val="000000"/>
                <w:sz w:val="18"/>
                <w:szCs w:val="18"/>
              </w:rPr>
              <w:t>/</w:t>
            </w:r>
          </w:p>
        </w:tc>
        <w:tc>
          <w:tcPr>
            <w:tcW w:w="4251" w:type="dxa"/>
            <w:vAlign w:val="center"/>
          </w:tcPr>
          <w:p w14:paraId="16ACB55B">
            <w:pPr>
              <w:jc w:val="center"/>
              <w:rPr>
                <w:color w:val="000000"/>
                <w:sz w:val="18"/>
                <w:szCs w:val="18"/>
              </w:rPr>
            </w:pPr>
            <w:r>
              <w:rPr>
                <w:color w:val="000000"/>
                <w:sz w:val="18"/>
                <w:szCs w:val="18"/>
              </w:rPr>
              <w:t>经过30次-40</w:t>
            </w:r>
            <w:r>
              <w:rPr>
                <w:rFonts w:hint="eastAsia" w:ascii="宋体" w:hAnsi="宋体" w:cs="宋体"/>
                <w:color w:val="000000"/>
                <w:sz w:val="18"/>
                <w:szCs w:val="18"/>
              </w:rPr>
              <w:t>℃</w:t>
            </w:r>
            <w:r>
              <w:rPr>
                <w:color w:val="000000"/>
                <w:sz w:val="18"/>
                <w:szCs w:val="18"/>
              </w:rPr>
              <w:t>~70</w:t>
            </w:r>
            <w:r>
              <w:rPr>
                <w:rFonts w:hint="eastAsia" w:ascii="宋体" w:hAnsi="宋体" w:cs="宋体"/>
                <w:color w:val="000000"/>
                <w:sz w:val="18"/>
                <w:szCs w:val="18"/>
              </w:rPr>
              <w:t>℃</w:t>
            </w:r>
            <w:r>
              <w:rPr>
                <w:color w:val="000000"/>
                <w:sz w:val="18"/>
                <w:szCs w:val="18"/>
              </w:rPr>
              <w:t>高低温循环，满足抗暴风雨强度要求</w:t>
            </w:r>
          </w:p>
        </w:tc>
      </w:tr>
    </w:tbl>
    <w:p w14:paraId="0897F273">
      <w:pPr>
        <w:pStyle w:val="258"/>
        <w:ind w:firstLine="420"/>
      </w:pPr>
    </w:p>
    <w:p w14:paraId="5379BCD1">
      <w:pPr>
        <w:pStyle w:val="258"/>
        <w:widowControl w:val="0"/>
        <w:overflowPunct w:val="0"/>
        <w:autoSpaceDE w:val="0"/>
        <w:autoSpaceDN w:val="0"/>
        <w:spacing w:before="62" w:beforeLines="20" w:after="78" w:afterLines="25" w:line="309" w:lineRule="exact"/>
        <w:ind w:firstLine="0" w:firstLineChars="0"/>
        <w:jc w:val="center"/>
        <w:rPr>
          <w:rFonts w:ascii="黑体" w:hAnsi="黑体" w:eastAsia="黑体" w:cs="黑体"/>
          <w:color w:val="000000"/>
          <w:szCs w:val="21"/>
        </w:rPr>
      </w:pPr>
      <w:r>
        <w:rPr>
          <w:rFonts w:hint="eastAsia" w:ascii="黑体" w:hAnsi="黑体" w:eastAsia="黑体" w:cs="黑体"/>
          <w:color w:val="000000"/>
          <w:szCs w:val="21"/>
        </w:rPr>
        <w:t>表 C.</w:t>
      </w:r>
      <w:r>
        <w:rPr>
          <w:rFonts w:hint="eastAsia" w:ascii="黑体" w:hAnsi="黑体" w:eastAsia="黑体" w:cs="黑体"/>
          <w:color w:val="000000"/>
          <w:szCs w:val="21"/>
          <w:lang w:val="en-US" w:eastAsia="zh-CN"/>
        </w:rPr>
        <w:t>3.2-2</w:t>
      </w:r>
      <w:r>
        <w:rPr>
          <w:rFonts w:ascii="黑体" w:hAnsi="黑体" w:eastAsia="黑体" w:cs="黑体"/>
          <w:color w:val="000000"/>
          <w:szCs w:val="21"/>
        </w:rPr>
        <w:t xml:space="preserve">  门窗洞口用防水透气膜与防水隔气膜的性能指标</w:t>
      </w:r>
    </w:p>
    <w:tbl>
      <w:tblPr>
        <w:tblStyle w:val="88"/>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955"/>
        <w:gridCol w:w="1456"/>
        <w:gridCol w:w="2344"/>
        <w:gridCol w:w="2344"/>
      </w:tblGrid>
      <w:tr w14:paraId="69EF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46FDC06D">
            <w:pPr>
              <w:jc w:val="center"/>
              <w:rPr>
                <w:color w:val="000000"/>
                <w:sz w:val="18"/>
                <w:szCs w:val="18"/>
              </w:rPr>
            </w:pPr>
            <w:r>
              <w:rPr>
                <w:color w:val="000000"/>
                <w:sz w:val="18"/>
                <w:szCs w:val="18"/>
              </w:rPr>
              <w:t>项目</w:t>
            </w:r>
          </w:p>
        </w:tc>
        <w:tc>
          <w:tcPr>
            <w:tcW w:w="1456" w:type="dxa"/>
            <w:vAlign w:val="center"/>
          </w:tcPr>
          <w:p w14:paraId="004F940F">
            <w:pPr>
              <w:jc w:val="center"/>
              <w:rPr>
                <w:color w:val="000000"/>
                <w:sz w:val="18"/>
                <w:szCs w:val="18"/>
              </w:rPr>
            </w:pPr>
            <w:r>
              <w:rPr>
                <w:color w:val="000000"/>
                <w:sz w:val="18"/>
                <w:szCs w:val="18"/>
              </w:rPr>
              <w:t>单位</w:t>
            </w:r>
          </w:p>
        </w:tc>
        <w:tc>
          <w:tcPr>
            <w:tcW w:w="2344" w:type="dxa"/>
            <w:vAlign w:val="center"/>
          </w:tcPr>
          <w:p w14:paraId="44DAFE49">
            <w:pPr>
              <w:jc w:val="center"/>
              <w:rPr>
                <w:color w:val="000000"/>
                <w:sz w:val="18"/>
                <w:szCs w:val="18"/>
              </w:rPr>
            </w:pPr>
            <w:r>
              <w:rPr>
                <w:color w:val="000000"/>
                <w:sz w:val="18"/>
                <w:szCs w:val="18"/>
              </w:rPr>
              <w:t>防水透气膜</w:t>
            </w:r>
          </w:p>
        </w:tc>
        <w:tc>
          <w:tcPr>
            <w:tcW w:w="2344" w:type="dxa"/>
          </w:tcPr>
          <w:p w14:paraId="06B73577">
            <w:pPr>
              <w:jc w:val="center"/>
              <w:rPr>
                <w:color w:val="000000"/>
                <w:sz w:val="18"/>
                <w:szCs w:val="18"/>
              </w:rPr>
            </w:pPr>
            <w:r>
              <w:rPr>
                <w:color w:val="000000"/>
                <w:sz w:val="18"/>
                <w:szCs w:val="18"/>
              </w:rPr>
              <w:t>防水隔气膜</w:t>
            </w:r>
          </w:p>
        </w:tc>
      </w:tr>
      <w:tr w14:paraId="6727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05ABCEFC">
            <w:pPr>
              <w:jc w:val="center"/>
              <w:rPr>
                <w:color w:val="000000"/>
                <w:sz w:val="18"/>
                <w:szCs w:val="18"/>
              </w:rPr>
            </w:pPr>
            <w:r>
              <w:rPr>
                <w:color w:val="000000"/>
                <w:sz w:val="18"/>
                <w:szCs w:val="18"/>
              </w:rPr>
              <w:t>厚度</w:t>
            </w:r>
          </w:p>
        </w:tc>
        <w:tc>
          <w:tcPr>
            <w:tcW w:w="1456" w:type="dxa"/>
            <w:vAlign w:val="center"/>
          </w:tcPr>
          <w:p w14:paraId="0F1880DF">
            <w:pPr>
              <w:jc w:val="center"/>
              <w:rPr>
                <w:color w:val="000000"/>
                <w:sz w:val="18"/>
                <w:szCs w:val="18"/>
              </w:rPr>
            </w:pPr>
            <w:r>
              <w:rPr>
                <w:color w:val="000000"/>
                <w:sz w:val="18"/>
                <w:szCs w:val="18"/>
              </w:rPr>
              <w:t>mm</w:t>
            </w:r>
          </w:p>
        </w:tc>
        <w:tc>
          <w:tcPr>
            <w:tcW w:w="2344" w:type="dxa"/>
            <w:vAlign w:val="center"/>
          </w:tcPr>
          <w:p w14:paraId="75072891">
            <w:pPr>
              <w:jc w:val="center"/>
              <w:rPr>
                <w:color w:val="000000"/>
                <w:sz w:val="18"/>
                <w:szCs w:val="18"/>
              </w:rPr>
            </w:pPr>
            <w:r>
              <w:rPr>
                <w:color w:val="000000"/>
                <w:sz w:val="18"/>
                <w:szCs w:val="18"/>
              </w:rPr>
              <w:t>≤0.7</w:t>
            </w:r>
          </w:p>
        </w:tc>
        <w:tc>
          <w:tcPr>
            <w:tcW w:w="2344" w:type="dxa"/>
          </w:tcPr>
          <w:p w14:paraId="7D21114E">
            <w:pPr>
              <w:jc w:val="center"/>
              <w:rPr>
                <w:color w:val="000000"/>
                <w:sz w:val="18"/>
                <w:szCs w:val="18"/>
              </w:rPr>
            </w:pPr>
            <w:r>
              <w:rPr>
                <w:color w:val="000000"/>
                <w:sz w:val="18"/>
                <w:szCs w:val="18"/>
              </w:rPr>
              <w:t>≤0.7</w:t>
            </w:r>
          </w:p>
        </w:tc>
      </w:tr>
      <w:tr w14:paraId="580F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085C524F">
            <w:pPr>
              <w:jc w:val="center"/>
              <w:rPr>
                <w:color w:val="000000"/>
                <w:sz w:val="18"/>
                <w:szCs w:val="18"/>
              </w:rPr>
            </w:pPr>
            <w:r>
              <w:rPr>
                <w:color w:val="000000"/>
                <w:sz w:val="18"/>
                <w:szCs w:val="18"/>
              </w:rPr>
              <w:t>单位面积质量</w:t>
            </w:r>
          </w:p>
        </w:tc>
        <w:tc>
          <w:tcPr>
            <w:tcW w:w="1456" w:type="dxa"/>
            <w:vAlign w:val="center"/>
          </w:tcPr>
          <w:p w14:paraId="4A5DE641">
            <w:pPr>
              <w:jc w:val="center"/>
              <w:rPr>
                <w:color w:val="000000"/>
                <w:sz w:val="18"/>
                <w:szCs w:val="18"/>
              </w:rPr>
            </w:pPr>
            <w:r>
              <w:rPr>
                <w:color w:val="000000"/>
                <w:sz w:val="18"/>
                <w:szCs w:val="18"/>
              </w:rPr>
              <w:t>g/m2</w:t>
            </w:r>
          </w:p>
        </w:tc>
        <w:tc>
          <w:tcPr>
            <w:tcW w:w="2344" w:type="dxa"/>
            <w:vAlign w:val="center"/>
          </w:tcPr>
          <w:p w14:paraId="532425A7">
            <w:pPr>
              <w:jc w:val="center"/>
              <w:rPr>
                <w:color w:val="000000"/>
                <w:sz w:val="18"/>
                <w:szCs w:val="18"/>
              </w:rPr>
            </w:pPr>
            <w:r>
              <w:rPr>
                <w:color w:val="000000"/>
                <w:sz w:val="18"/>
                <w:szCs w:val="18"/>
              </w:rPr>
              <w:t>≤200</w:t>
            </w:r>
          </w:p>
        </w:tc>
        <w:tc>
          <w:tcPr>
            <w:tcW w:w="2344" w:type="dxa"/>
          </w:tcPr>
          <w:p w14:paraId="2B5364D6">
            <w:pPr>
              <w:jc w:val="center"/>
              <w:rPr>
                <w:color w:val="000000"/>
                <w:sz w:val="18"/>
                <w:szCs w:val="18"/>
              </w:rPr>
            </w:pPr>
            <w:r>
              <w:rPr>
                <w:color w:val="000000"/>
                <w:sz w:val="18"/>
                <w:szCs w:val="18"/>
              </w:rPr>
              <w:t>≤250</w:t>
            </w:r>
          </w:p>
        </w:tc>
      </w:tr>
      <w:tr w14:paraId="1A30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Merge w:val="restart"/>
            <w:vAlign w:val="center"/>
          </w:tcPr>
          <w:p w14:paraId="4AFF99CE">
            <w:pPr>
              <w:jc w:val="center"/>
              <w:rPr>
                <w:color w:val="000000"/>
                <w:sz w:val="18"/>
                <w:szCs w:val="18"/>
              </w:rPr>
            </w:pPr>
            <w:r>
              <w:rPr>
                <w:color w:val="000000"/>
                <w:sz w:val="18"/>
                <w:szCs w:val="18"/>
              </w:rPr>
              <w:t>拉伸断裂强度</w:t>
            </w:r>
          </w:p>
        </w:tc>
        <w:tc>
          <w:tcPr>
            <w:tcW w:w="1955" w:type="dxa"/>
            <w:vAlign w:val="center"/>
          </w:tcPr>
          <w:p w14:paraId="3B189DDD">
            <w:pPr>
              <w:jc w:val="center"/>
              <w:rPr>
                <w:color w:val="000000"/>
                <w:sz w:val="18"/>
                <w:szCs w:val="18"/>
              </w:rPr>
            </w:pPr>
            <w:r>
              <w:rPr>
                <w:color w:val="000000"/>
                <w:sz w:val="18"/>
                <w:szCs w:val="18"/>
              </w:rPr>
              <w:t>纵向</w:t>
            </w:r>
          </w:p>
        </w:tc>
        <w:tc>
          <w:tcPr>
            <w:tcW w:w="1456" w:type="dxa"/>
            <w:vAlign w:val="center"/>
          </w:tcPr>
          <w:p w14:paraId="2EE1F0A3">
            <w:pPr>
              <w:jc w:val="center"/>
              <w:rPr>
                <w:color w:val="000000"/>
                <w:sz w:val="18"/>
                <w:szCs w:val="18"/>
              </w:rPr>
            </w:pPr>
            <w:r>
              <w:rPr>
                <w:color w:val="000000"/>
                <w:sz w:val="18"/>
                <w:szCs w:val="18"/>
              </w:rPr>
              <w:t>N/50m</w:t>
            </w:r>
          </w:p>
        </w:tc>
        <w:tc>
          <w:tcPr>
            <w:tcW w:w="2344" w:type="dxa"/>
            <w:vAlign w:val="center"/>
          </w:tcPr>
          <w:p w14:paraId="1041581A">
            <w:pPr>
              <w:jc w:val="center"/>
              <w:rPr>
                <w:color w:val="000000"/>
                <w:sz w:val="18"/>
                <w:szCs w:val="18"/>
              </w:rPr>
            </w:pPr>
            <w:r>
              <w:rPr>
                <w:color w:val="000000"/>
                <w:sz w:val="18"/>
                <w:szCs w:val="18"/>
              </w:rPr>
              <w:t>≥450</w:t>
            </w:r>
          </w:p>
        </w:tc>
        <w:tc>
          <w:tcPr>
            <w:tcW w:w="2344" w:type="dxa"/>
          </w:tcPr>
          <w:p w14:paraId="1BDF812A">
            <w:pPr>
              <w:jc w:val="center"/>
              <w:rPr>
                <w:color w:val="000000"/>
                <w:sz w:val="18"/>
                <w:szCs w:val="18"/>
              </w:rPr>
            </w:pPr>
            <w:r>
              <w:rPr>
                <w:color w:val="000000"/>
                <w:sz w:val="18"/>
                <w:szCs w:val="18"/>
              </w:rPr>
              <w:t>≥500</w:t>
            </w:r>
          </w:p>
        </w:tc>
      </w:tr>
      <w:tr w14:paraId="4057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Merge w:val="continue"/>
            <w:vAlign w:val="center"/>
          </w:tcPr>
          <w:p w14:paraId="5E6D95B2">
            <w:pPr>
              <w:jc w:val="center"/>
              <w:rPr>
                <w:color w:val="000000"/>
                <w:sz w:val="18"/>
                <w:szCs w:val="18"/>
              </w:rPr>
            </w:pPr>
          </w:p>
        </w:tc>
        <w:tc>
          <w:tcPr>
            <w:tcW w:w="1955" w:type="dxa"/>
            <w:vAlign w:val="center"/>
          </w:tcPr>
          <w:p w14:paraId="00FA441A">
            <w:pPr>
              <w:jc w:val="center"/>
              <w:rPr>
                <w:color w:val="000000"/>
                <w:sz w:val="18"/>
                <w:szCs w:val="18"/>
              </w:rPr>
            </w:pPr>
            <w:r>
              <w:rPr>
                <w:color w:val="000000"/>
                <w:sz w:val="18"/>
                <w:szCs w:val="18"/>
              </w:rPr>
              <w:t>横向</w:t>
            </w:r>
          </w:p>
        </w:tc>
        <w:tc>
          <w:tcPr>
            <w:tcW w:w="1456" w:type="dxa"/>
            <w:vAlign w:val="center"/>
          </w:tcPr>
          <w:p w14:paraId="67B7A8AE">
            <w:pPr>
              <w:jc w:val="center"/>
              <w:rPr>
                <w:color w:val="000000"/>
                <w:sz w:val="18"/>
                <w:szCs w:val="18"/>
              </w:rPr>
            </w:pPr>
            <w:r>
              <w:rPr>
                <w:color w:val="000000"/>
                <w:sz w:val="18"/>
                <w:szCs w:val="18"/>
              </w:rPr>
              <w:t>N/50m</w:t>
            </w:r>
          </w:p>
        </w:tc>
        <w:tc>
          <w:tcPr>
            <w:tcW w:w="2344" w:type="dxa"/>
            <w:vAlign w:val="center"/>
          </w:tcPr>
          <w:p w14:paraId="4411F139">
            <w:pPr>
              <w:jc w:val="center"/>
              <w:rPr>
                <w:color w:val="000000"/>
                <w:sz w:val="18"/>
                <w:szCs w:val="18"/>
              </w:rPr>
            </w:pPr>
            <w:r>
              <w:rPr>
                <w:color w:val="000000"/>
                <w:sz w:val="18"/>
                <w:szCs w:val="18"/>
              </w:rPr>
              <w:t>≥60</w:t>
            </w:r>
          </w:p>
        </w:tc>
        <w:tc>
          <w:tcPr>
            <w:tcW w:w="2344" w:type="dxa"/>
          </w:tcPr>
          <w:p w14:paraId="4C2F2062">
            <w:pPr>
              <w:jc w:val="center"/>
              <w:rPr>
                <w:color w:val="000000"/>
                <w:sz w:val="18"/>
                <w:szCs w:val="18"/>
              </w:rPr>
            </w:pPr>
            <w:r>
              <w:rPr>
                <w:color w:val="000000"/>
                <w:sz w:val="18"/>
                <w:szCs w:val="18"/>
              </w:rPr>
              <w:t>≥80</w:t>
            </w:r>
          </w:p>
        </w:tc>
      </w:tr>
      <w:tr w14:paraId="6DA6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Merge w:val="restart"/>
            <w:vAlign w:val="center"/>
          </w:tcPr>
          <w:p w14:paraId="49C3CE89">
            <w:pPr>
              <w:rPr>
                <w:color w:val="000000"/>
                <w:sz w:val="18"/>
                <w:szCs w:val="18"/>
              </w:rPr>
            </w:pPr>
            <w:r>
              <w:rPr>
                <w:color w:val="000000"/>
                <w:sz w:val="18"/>
                <w:szCs w:val="18"/>
              </w:rPr>
              <w:t>断裂伸长率</w:t>
            </w:r>
          </w:p>
        </w:tc>
        <w:tc>
          <w:tcPr>
            <w:tcW w:w="1955" w:type="dxa"/>
            <w:vAlign w:val="center"/>
          </w:tcPr>
          <w:p w14:paraId="705A8016">
            <w:pPr>
              <w:jc w:val="center"/>
              <w:rPr>
                <w:color w:val="000000"/>
                <w:sz w:val="18"/>
                <w:szCs w:val="18"/>
              </w:rPr>
            </w:pPr>
            <w:r>
              <w:rPr>
                <w:color w:val="000000"/>
                <w:sz w:val="18"/>
                <w:szCs w:val="18"/>
              </w:rPr>
              <w:t>纵向</w:t>
            </w:r>
          </w:p>
        </w:tc>
        <w:tc>
          <w:tcPr>
            <w:tcW w:w="1456" w:type="dxa"/>
            <w:vAlign w:val="center"/>
          </w:tcPr>
          <w:p w14:paraId="6856FA51">
            <w:pPr>
              <w:jc w:val="center"/>
              <w:rPr>
                <w:color w:val="000000"/>
                <w:sz w:val="18"/>
                <w:szCs w:val="18"/>
              </w:rPr>
            </w:pPr>
            <w:r>
              <w:rPr>
                <w:color w:val="000000"/>
                <w:sz w:val="18"/>
                <w:szCs w:val="18"/>
              </w:rPr>
              <w:t>%</w:t>
            </w:r>
          </w:p>
        </w:tc>
        <w:tc>
          <w:tcPr>
            <w:tcW w:w="2344" w:type="dxa"/>
            <w:vAlign w:val="center"/>
          </w:tcPr>
          <w:p w14:paraId="779431A0">
            <w:pPr>
              <w:jc w:val="center"/>
              <w:rPr>
                <w:color w:val="000000"/>
                <w:sz w:val="18"/>
                <w:szCs w:val="18"/>
              </w:rPr>
            </w:pPr>
            <w:r>
              <w:rPr>
                <w:color w:val="000000"/>
                <w:sz w:val="18"/>
                <w:szCs w:val="18"/>
              </w:rPr>
              <w:t>≥10</w:t>
            </w:r>
          </w:p>
        </w:tc>
        <w:tc>
          <w:tcPr>
            <w:tcW w:w="2344" w:type="dxa"/>
          </w:tcPr>
          <w:p w14:paraId="20975A3E">
            <w:pPr>
              <w:jc w:val="center"/>
              <w:rPr>
                <w:color w:val="000000"/>
                <w:sz w:val="18"/>
                <w:szCs w:val="18"/>
              </w:rPr>
            </w:pPr>
            <w:r>
              <w:rPr>
                <w:color w:val="000000"/>
                <w:sz w:val="18"/>
                <w:szCs w:val="18"/>
              </w:rPr>
              <w:t>≥10</w:t>
            </w:r>
          </w:p>
        </w:tc>
      </w:tr>
      <w:tr w14:paraId="2206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Merge w:val="continue"/>
            <w:vAlign w:val="center"/>
          </w:tcPr>
          <w:p w14:paraId="18A79B72">
            <w:pPr>
              <w:jc w:val="center"/>
              <w:rPr>
                <w:color w:val="000000"/>
                <w:sz w:val="18"/>
                <w:szCs w:val="18"/>
              </w:rPr>
            </w:pPr>
          </w:p>
        </w:tc>
        <w:tc>
          <w:tcPr>
            <w:tcW w:w="1955" w:type="dxa"/>
            <w:vAlign w:val="center"/>
          </w:tcPr>
          <w:p w14:paraId="30F2141C">
            <w:pPr>
              <w:jc w:val="center"/>
              <w:rPr>
                <w:color w:val="000000"/>
                <w:sz w:val="18"/>
                <w:szCs w:val="18"/>
              </w:rPr>
            </w:pPr>
            <w:r>
              <w:rPr>
                <w:color w:val="000000"/>
                <w:sz w:val="18"/>
                <w:szCs w:val="18"/>
              </w:rPr>
              <w:t>横向</w:t>
            </w:r>
          </w:p>
        </w:tc>
        <w:tc>
          <w:tcPr>
            <w:tcW w:w="1456" w:type="dxa"/>
            <w:vAlign w:val="center"/>
          </w:tcPr>
          <w:p w14:paraId="37CC9DF9">
            <w:pPr>
              <w:jc w:val="center"/>
              <w:rPr>
                <w:color w:val="000000"/>
                <w:sz w:val="18"/>
                <w:szCs w:val="18"/>
              </w:rPr>
            </w:pPr>
            <w:r>
              <w:rPr>
                <w:color w:val="000000"/>
                <w:sz w:val="18"/>
                <w:szCs w:val="18"/>
              </w:rPr>
              <w:t>%</w:t>
            </w:r>
          </w:p>
        </w:tc>
        <w:tc>
          <w:tcPr>
            <w:tcW w:w="2344" w:type="dxa"/>
            <w:vAlign w:val="center"/>
          </w:tcPr>
          <w:p w14:paraId="7196D51A">
            <w:pPr>
              <w:jc w:val="center"/>
              <w:rPr>
                <w:color w:val="000000"/>
                <w:sz w:val="18"/>
                <w:szCs w:val="18"/>
              </w:rPr>
            </w:pPr>
            <w:r>
              <w:rPr>
                <w:color w:val="000000"/>
                <w:sz w:val="18"/>
                <w:szCs w:val="18"/>
              </w:rPr>
              <w:t>≥60</w:t>
            </w:r>
          </w:p>
        </w:tc>
        <w:tc>
          <w:tcPr>
            <w:tcW w:w="2344" w:type="dxa"/>
          </w:tcPr>
          <w:p w14:paraId="42F11F0C">
            <w:pPr>
              <w:jc w:val="center"/>
              <w:rPr>
                <w:color w:val="000000"/>
                <w:sz w:val="18"/>
                <w:szCs w:val="18"/>
              </w:rPr>
            </w:pPr>
            <w:r>
              <w:rPr>
                <w:color w:val="000000"/>
                <w:sz w:val="18"/>
                <w:szCs w:val="18"/>
              </w:rPr>
              <w:t>≥50</w:t>
            </w:r>
          </w:p>
        </w:tc>
      </w:tr>
      <w:tr w14:paraId="2BAF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60C6BFBB">
            <w:pPr>
              <w:jc w:val="center"/>
              <w:rPr>
                <w:color w:val="000000"/>
                <w:sz w:val="18"/>
                <w:szCs w:val="18"/>
              </w:rPr>
            </w:pPr>
            <w:r>
              <w:rPr>
                <w:color w:val="000000"/>
                <w:sz w:val="18"/>
                <w:szCs w:val="18"/>
              </w:rPr>
              <w:t>透湿率</w:t>
            </w:r>
          </w:p>
        </w:tc>
        <w:tc>
          <w:tcPr>
            <w:tcW w:w="1456" w:type="dxa"/>
            <w:vAlign w:val="center"/>
          </w:tcPr>
          <w:p w14:paraId="0CCCD538">
            <w:pPr>
              <w:jc w:val="center"/>
              <w:rPr>
                <w:color w:val="000000"/>
                <w:sz w:val="18"/>
                <w:szCs w:val="18"/>
              </w:rPr>
            </w:pPr>
            <w:r>
              <w:rPr>
                <w:color w:val="000000"/>
                <w:sz w:val="18"/>
                <w:szCs w:val="18"/>
              </w:rPr>
              <w:t>g/(m</w:t>
            </w:r>
            <w:r>
              <w:rPr>
                <w:color w:val="000000"/>
                <w:sz w:val="18"/>
                <w:szCs w:val="18"/>
                <w:vertAlign w:val="superscript"/>
              </w:rPr>
              <w:t>2</w:t>
            </w:r>
            <w:r>
              <w:rPr>
                <w:color w:val="000000"/>
                <w:sz w:val="18"/>
                <w:szCs w:val="18"/>
              </w:rPr>
              <w:sym w:font="Wingdings" w:char="F09E"/>
            </w:r>
            <w:r>
              <w:rPr>
                <w:color w:val="000000"/>
                <w:sz w:val="18"/>
                <w:szCs w:val="18"/>
              </w:rPr>
              <w:t>s</w:t>
            </w:r>
            <w:r>
              <w:rPr>
                <w:color w:val="000000"/>
                <w:sz w:val="18"/>
                <w:szCs w:val="18"/>
              </w:rPr>
              <w:sym w:font="Wingdings" w:char="F09E"/>
            </w:r>
            <w:r>
              <w:rPr>
                <w:color w:val="000000"/>
                <w:sz w:val="18"/>
                <w:szCs w:val="18"/>
              </w:rPr>
              <w:t>Pa)</w:t>
            </w:r>
          </w:p>
        </w:tc>
        <w:tc>
          <w:tcPr>
            <w:tcW w:w="2344" w:type="dxa"/>
            <w:vAlign w:val="center"/>
          </w:tcPr>
          <w:p w14:paraId="2EF8D505">
            <w:pPr>
              <w:jc w:val="center"/>
              <w:rPr>
                <w:color w:val="000000"/>
                <w:sz w:val="18"/>
                <w:szCs w:val="18"/>
              </w:rPr>
            </w:pPr>
            <w:r>
              <w:rPr>
                <w:color w:val="000000"/>
                <w:sz w:val="18"/>
                <w:szCs w:val="18"/>
              </w:rPr>
              <w:t>≥4.0×10</w:t>
            </w:r>
            <w:r>
              <w:rPr>
                <w:color w:val="000000"/>
                <w:sz w:val="18"/>
                <w:szCs w:val="18"/>
                <w:vertAlign w:val="superscript"/>
              </w:rPr>
              <w:t>-7</w:t>
            </w:r>
          </w:p>
        </w:tc>
        <w:tc>
          <w:tcPr>
            <w:tcW w:w="2344" w:type="dxa"/>
          </w:tcPr>
          <w:p w14:paraId="24241F8D">
            <w:pPr>
              <w:jc w:val="center"/>
              <w:rPr>
                <w:color w:val="000000"/>
                <w:sz w:val="18"/>
                <w:szCs w:val="18"/>
              </w:rPr>
            </w:pPr>
            <w:r>
              <w:rPr>
                <w:color w:val="000000"/>
                <w:sz w:val="18"/>
                <w:szCs w:val="18"/>
              </w:rPr>
              <w:t>≤9.0×10</w:t>
            </w:r>
            <w:r>
              <w:rPr>
                <w:color w:val="000000"/>
                <w:sz w:val="18"/>
                <w:szCs w:val="18"/>
                <w:vertAlign w:val="superscript"/>
              </w:rPr>
              <w:t>-9</w:t>
            </w:r>
          </w:p>
        </w:tc>
      </w:tr>
      <w:tr w14:paraId="2241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4EC06F92">
            <w:pPr>
              <w:jc w:val="center"/>
              <w:rPr>
                <w:color w:val="000000"/>
                <w:sz w:val="18"/>
                <w:szCs w:val="18"/>
              </w:rPr>
            </w:pPr>
            <w:r>
              <w:rPr>
                <w:color w:val="000000"/>
                <w:sz w:val="18"/>
                <w:szCs w:val="18"/>
              </w:rPr>
              <w:t>湿阻因子</w:t>
            </w:r>
          </w:p>
        </w:tc>
        <w:tc>
          <w:tcPr>
            <w:tcW w:w="1456" w:type="dxa"/>
            <w:vAlign w:val="center"/>
          </w:tcPr>
          <w:p w14:paraId="5AAAC928">
            <w:pPr>
              <w:jc w:val="center"/>
              <w:rPr>
                <w:color w:val="000000"/>
                <w:sz w:val="18"/>
                <w:szCs w:val="18"/>
              </w:rPr>
            </w:pPr>
            <w:r>
              <w:rPr>
                <w:color w:val="000000"/>
                <w:sz w:val="18"/>
                <w:szCs w:val="18"/>
              </w:rPr>
              <w:t>/</w:t>
            </w:r>
          </w:p>
        </w:tc>
        <w:tc>
          <w:tcPr>
            <w:tcW w:w="2344" w:type="dxa"/>
            <w:vAlign w:val="center"/>
          </w:tcPr>
          <w:p w14:paraId="5A7C56D8">
            <w:pPr>
              <w:jc w:val="center"/>
              <w:rPr>
                <w:color w:val="000000"/>
                <w:sz w:val="18"/>
                <w:szCs w:val="18"/>
              </w:rPr>
            </w:pPr>
            <w:r>
              <w:rPr>
                <w:color w:val="000000"/>
                <w:sz w:val="18"/>
                <w:szCs w:val="18"/>
              </w:rPr>
              <w:t>≤9.0×10</w:t>
            </w:r>
            <w:r>
              <w:rPr>
                <w:color w:val="000000"/>
                <w:sz w:val="18"/>
                <w:szCs w:val="18"/>
                <w:vertAlign w:val="superscript"/>
              </w:rPr>
              <w:t>2</w:t>
            </w:r>
          </w:p>
        </w:tc>
        <w:tc>
          <w:tcPr>
            <w:tcW w:w="2344" w:type="dxa"/>
          </w:tcPr>
          <w:p w14:paraId="1F1F1F9D">
            <w:pPr>
              <w:jc w:val="center"/>
              <w:rPr>
                <w:color w:val="000000"/>
                <w:sz w:val="18"/>
                <w:szCs w:val="18"/>
              </w:rPr>
            </w:pPr>
            <w:r>
              <w:rPr>
                <w:color w:val="000000"/>
                <w:sz w:val="18"/>
                <w:szCs w:val="18"/>
              </w:rPr>
              <w:t>≥5.0×10</w:t>
            </w:r>
            <w:r>
              <w:rPr>
                <w:color w:val="000000"/>
                <w:sz w:val="18"/>
                <w:szCs w:val="18"/>
                <w:vertAlign w:val="superscript"/>
              </w:rPr>
              <w:t>4</w:t>
            </w:r>
          </w:p>
        </w:tc>
      </w:tr>
      <w:tr w14:paraId="11AD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2" w:type="dxa"/>
            <w:gridSpan w:val="2"/>
            <w:vAlign w:val="center"/>
          </w:tcPr>
          <w:p w14:paraId="0F5ECF59">
            <w:pPr>
              <w:jc w:val="center"/>
              <w:rPr>
                <w:color w:val="000000"/>
                <w:sz w:val="18"/>
                <w:szCs w:val="18"/>
              </w:rPr>
            </w:pPr>
            <w:r>
              <w:rPr>
                <w:color w:val="000000"/>
                <w:sz w:val="18"/>
                <w:szCs w:val="18"/>
              </w:rPr>
              <w:t>水蒸气扩散阻力值S</w:t>
            </w:r>
            <w:r>
              <w:rPr>
                <w:color w:val="000000"/>
                <w:sz w:val="18"/>
                <w:szCs w:val="18"/>
                <w:vertAlign w:val="subscript"/>
              </w:rPr>
              <w:t>d</w:t>
            </w:r>
            <w:r>
              <w:rPr>
                <w:color w:val="000000"/>
                <w:sz w:val="18"/>
                <w:szCs w:val="18"/>
              </w:rPr>
              <w:t>值</w:t>
            </w:r>
          </w:p>
        </w:tc>
        <w:tc>
          <w:tcPr>
            <w:tcW w:w="1456" w:type="dxa"/>
            <w:vAlign w:val="center"/>
          </w:tcPr>
          <w:p w14:paraId="21B72A9B">
            <w:pPr>
              <w:jc w:val="center"/>
              <w:rPr>
                <w:color w:val="000000"/>
                <w:sz w:val="18"/>
                <w:szCs w:val="18"/>
              </w:rPr>
            </w:pPr>
            <w:r>
              <w:rPr>
                <w:color w:val="000000"/>
                <w:sz w:val="18"/>
                <w:szCs w:val="18"/>
              </w:rPr>
              <w:t>m</w:t>
            </w:r>
          </w:p>
        </w:tc>
        <w:tc>
          <w:tcPr>
            <w:tcW w:w="2344" w:type="dxa"/>
            <w:vAlign w:val="center"/>
          </w:tcPr>
          <w:p w14:paraId="2FDA3325">
            <w:pPr>
              <w:jc w:val="center"/>
              <w:rPr>
                <w:color w:val="000000"/>
                <w:sz w:val="18"/>
                <w:szCs w:val="18"/>
              </w:rPr>
            </w:pPr>
            <w:r>
              <w:rPr>
                <w:color w:val="000000"/>
                <w:sz w:val="18"/>
                <w:szCs w:val="18"/>
              </w:rPr>
              <w:t>≤0.5</w:t>
            </w:r>
          </w:p>
        </w:tc>
        <w:tc>
          <w:tcPr>
            <w:tcW w:w="2344" w:type="dxa"/>
          </w:tcPr>
          <w:p w14:paraId="28BEE4EA">
            <w:pPr>
              <w:jc w:val="center"/>
              <w:rPr>
                <w:color w:val="000000"/>
                <w:sz w:val="18"/>
                <w:szCs w:val="18"/>
              </w:rPr>
            </w:pPr>
            <w:r>
              <w:rPr>
                <w:color w:val="000000"/>
                <w:sz w:val="18"/>
                <w:szCs w:val="18"/>
              </w:rPr>
              <w:t>≥30</w:t>
            </w:r>
          </w:p>
        </w:tc>
      </w:tr>
    </w:tbl>
    <w:p w14:paraId="554F2422">
      <w:r>
        <w:br w:type="page"/>
      </w:r>
    </w:p>
    <w:p w14:paraId="706DAC7C">
      <w:pPr>
        <w:pStyle w:val="274"/>
        <w:numPr>
          <w:ilvl w:val="0"/>
          <w:numId w:val="49"/>
        </w:numPr>
        <w:spacing w:after="284"/>
        <w:rPr>
          <w:rFonts w:hint="default" w:hAnsi="Times New Roman" w:cs="Times New Roman"/>
          <w:lang w:val="en-US" w:eastAsia="zh-CN"/>
        </w:rPr>
      </w:pPr>
      <w:bookmarkStart w:id="73" w:name="_Toc7674"/>
      <w:r>
        <w:br w:type="textWrapping"/>
      </w:r>
      <w:r>
        <w:rPr>
          <w:rFonts w:hint="eastAsia"/>
        </w:rPr>
        <w:t>（</w:t>
      </w:r>
      <w:r>
        <w:rPr>
          <w:rFonts w:hint="eastAsia"/>
          <w:lang w:val="en-US" w:eastAsia="zh-CN"/>
        </w:rPr>
        <w:t>资料</w:t>
      </w:r>
      <w:r>
        <w:rPr>
          <w:rFonts w:hint="eastAsia"/>
        </w:rPr>
        <w:t>性）</w:t>
      </w:r>
      <w:r>
        <w:br w:type="textWrapping"/>
      </w:r>
      <w:r>
        <w:rPr>
          <w:rFonts w:hint="eastAsia"/>
        </w:rPr>
        <w:t>建筑围护结构节能基本构造主要类型</w:t>
      </w:r>
      <w:bookmarkEnd w:id="73"/>
    </w:p>
    <w:p w14:paraId="68FE2F39">
      <w:pPr>
        <w:overflowPunct w:val="0"/>
        <w:spacing w:line="360" w:lineRule="auto"/>
        <w:outlineLvl w:val="1"/>
        <w:rPr>
          <w:rStyle w:val="698"/>
          <w:color w:val="auto"/>
        </w:rPr>
      </w:pPr>
      <w:bookmarkStart w:id="74" w:name="_Toc7269"/>
      <w:bookmarkStart w:id="75" w:name="_Toc179270709"/>
      <w:bookmarkStart w:id="76" w:name="_Toc8152"/>
      <w:bookmarkStart w:id="77" w:name="_Toc15748"/>
      <w:r>
        <w:rPr>
          <w:rStyle w:val="698"/>
          <w:rFonts w:hint="eastAsia"/>
          <w:color w:val="auto"/>
        </w:rPr>
        <w:t>一、屋面</w:t>
      </w:r>
      <w:bookmarkEnd w:id="74"/>
      <w:bookmarkEnd w:id="75"/>
      <w:bookmarkEnd w:id="76"/>
      <w:bookmarkEnd w:id="77"/>
    </w:p>
    <w:p w14:paraId="5CA8505B">
      <w:pPr>
        <w:overflowPunct w:val="0"/>
        <w:ind w:firstLine="420"/>
        <w:outlineLvl w:val="2"/>
        <w:rPr>
          <w:rStyle w:val="698"/>
          <w:color w:val="auto"/>
        </w:rPr>
      </w:pPr>
      <w:r>
        <w:rPr>
          <w:rStyle w:val="698"/>
          <w:color w:val="auto"/>
        </w:rPr>
        <w:t>1．</w:t>
      </w:r>
      <w:r>
        <w:rPr>
          <w:rStyle w:val="698"/>
          <w:rFonts w:hint="eastAsia"/>
          <w:color w:val="auto"/>
        </w:rPr>
        <w:t>平屋面</w:t>
      </w:r>
    </w:p>
    <w:p w14:paraId="6644371C">
      <w:pPr>
        <w:overflowPunct w:val="0"/>
        <w:jc w:val="center"/>
        <w:rPr>
          <w:rFonts w:ascii="黑体" w:hAnsi="黑体" w:eastAsia="黑体" w:cs="黑体"/>
          <w:sz w:val="18"/>
          <w:szCs w:val="18"/>
        </w:rPr>
      </w:pPr>
      <w:r>
        <w:drawing>
          <wp:inline distT="0" distB="0" distL="114300" distR="114300">
            <wp:extent cx="4666615" cy="2656840"/>
            <wp:effectExtent l="0" t="0" r="63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4672976" cy="2660194"/>
                    </a:xfrm>
                    <a:prstGeom prst="rect">
                      <a:avLst/>
                    </a:prstGeom>
                    <a:noFill/>
                    <a:ln>
                      <a:noFill/>
                    </a:ln>
                  </pic:spPr>
                </pic:pic>
              </a:graphicData>
            </a:graphic>
          </wp:inline>
        </w:drawing>
      </w:r>
    </w:p>
    <w:p w14:paraId="58E5E2BE">
      <w:pPr>
        <w:overflowPunct w:val="0"/>
        <w:jc w:val="center"/>
        <w:rPr>
          <w:rFonts w:ascii="黑体" w:hAnsi="黑体" w:eastAsia="黑体" w:cs="黑体"/>
          <w:sz w:val="18"/>
          <w:szCs w:val="18"/>
        </w:rPr>
      </w:pPr>
      <w:r>
        <w:rPr>
          <w:rFonts w:hint="eastAsia" w:ascii="黑体" w:hAnsi="黑体" w:eastAsia="黑体" w:cs="黑体"/>
          <w:sz w:val="18"/>
          <w:szCs w:val="18"/>
        </w:rPr>
        <w:t xml:space="preserve">图D.1 </w:t>
      </w:r>
      <w:r>
        <w:rPr>
          <w:rFonts w:ascii="黑体" w:hAnsi="黑体" w:eastAsia="黑体" w:cs="黑体"/>
          <w:sz w:val="18"/>
          <w:szCs w:val="18"/>
        </w:rPr>
        <w:t>平屋面构造示意图</w:t>
      </w:r>
    </w:p>
    <w:p w14:paraId="1452DFDC">
      <w:pPr>
        <w:overflowPunct w:val="0"/>
        <w:jc w:val="center"/>
        <w:rPr>
          <w:rFonts w:ascii="黑体" w:hAnsi="黑体" w:eastAsia="黑体" w:cs="黑体"/>
          <w:sz w:val="18"/>
          <w:szCs w:val="18"/>
        </w:rPr>
      </w:pPr>
    </w:p>
    <w:p w14:paraId="6A6E0761">
      <w:pPr>
        <w:overflowPunct w:val="0"/>
        <w:ind w:firstLine="420"/>
        <w:outlineLvl w:val="2"/>
        <w:rPr>
          <w:rStyle w:val="698"/>
          <w:color w:val="auto"/>
        </w:rPr>
      </w:pPr>
      <w:r>
        <w:rPr>
          <w:rStyle w:val="698"/>
          <w:color w:val="auto"/>
        </w:rPr>
        <w:t>2．</w:t>
      </w:r>
      <w:r>
        <w:rPr>
          <w:rStyle w:val="698"/>
          <w:rFonts w:hint="eastAsia"/>
          <w:color w:val="auto"/>
        </w:rPr>
        <w:t>种植屋面</w:t>
      </w:r>
    </w:p>
    <w:p w14:paraId="11C5C407">
      <w:pPr>
        <w:overflowPunct w:val="0"/>
        <w:jc w:val="center"/>
      </w:pPr>
      <w:r>
        <w:drawing>
          <wp:inline distT="0" distB="0" distL="114300" distR="114300">
            <wp:extent cx="3598545" cy="3286125"/>
            <wp:effectExtent l="0" t="0" r="190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3605236" cy="3292235"/>
                    </a:xfrm>
                    <a:prstGeom prst="rect">
                      <a:avLst/>
                    </a:prstGeom>
                    <a:noFill/>
                    <a:ln>
                      <a:noFill/>
                    </a:ln>
                  </pic:spPr>
                </pic:pic>
              </a:graphicData>
            </a:graphic>
          </wp:inline>
        </w:drawing>
      </w:r>
    </w:p>
    <w:p w14:paraId="198B4B57">
      <w:pPr>
        <w:pStyle w:val="258"/>
        <w:widowControl w:val="0"/>
        <w:overflowPunct w:val="0"/>
        <w:autoSpaceDE/>
        <w:autoSpaceDN/>
        <w:spacing w:before="62" w:beforeLines="20" w:after="78" w:afterLines="25" w:line="309" w:lineRule="exact"/>
        <w:ind w:firstLine="0" w:firstLineChars="0"/>
        <w:jc w:val="center"/>
        <w:rPr>
          <w:rFonts w:ascii="黑体" w:hAnsi="黑体" w:eastAsia="黑体" w:cs="黑体"/>
          <w:sz w:val="18"/>
          <w:szCs w:val="18"/>
        </w:rPr>
      </w:pPr>
      <w:r>
        <w:rPr>
          <w:rFonts w:hint="eastAsia" w:ascii="黑体" w:hAnsi="黑体" w:eastAsia="黑体" w:cs="黑体"/>
          <w:sz w:val="18"/>
          <w:szCs w:val="18"/>
        </w:rPr>
        <w:t>图D.2 种植</w:t>
      </w:r>
      <w:r>
        <w:rPr>
          <w:rFonts w:ascii="黑体" w:hAnsi="黑体" w:eastAsia="黑体" w:cs="黑体"/>
          <w:sz w:val="18"/>
          <w:szCs w:val="18"/>
        </w:rPr>
        <w:t>屋面构造示意图</w:t>
      </w:r>
    </w:p>
    <w:p w14:paraId="695FA5B8">
      <w:pPr>
        <w:overflowPunct w:val="0"/>
        <w:ind w:firstLine="420"/>
        <w:outlineLvl w:val="2"/>
        <w:rPr>
          <w:rStyle w:val="698"/>
          <w:color w:val="auto"/>
        </w:rPr>
      </w:pPr>
      <w:r>
        <w:rPr>
          <w:rStyle w:val="698"/>
          <w:color w:val="auto"/>
        </w:rPr>
        <w:t>3．</w:t>
      </w:r>
      <w:r>
        <w:rPr>
          <w:rStyle w:val="698"/>
          <w:rFonts w:hint="eastAsia"/>
          <w:color w:val="auto"/>
        </w:rPr>
        <w:t>坡屋面</w:t>
      </w:r>
    </w:p>
    <w:p w14:paraId="4261DB2F">
      <w:pPr>
        <w:overflowPunct w:val="0"/>
        <w:jc w:val="center"/>
      </w:pPr>
      <w:r>
        <w:drawing>
          <wp:inline distT="0" distB="0" distL="114300" distR="114300">
            <wp:extent cx="4218305" cy="3502025"/>
            <wp:effectExtent l="0" t="0" r="1079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4226640" cy="3509019"/>
                    </a:xfrm>
                    <a:prstGeom prst="rect">
                      <a:avLst/>
                    </a:prstGeom>
                    <a:noFill/>
                    <a:ln>
                      <a:noFill/>
                    </a:ln>
                  </pic:spPr>
                </pic:pic>
              </a:graphicData>
            </a:graphic>
          </wp:inline>
        </w:drawing>
      </w:r>
    </w:p>
    <w:p w14:paraId="32CE2F93">
      <w:pPr>
        <w:pStyle w:val="258"/>
        <w:widowControl w:val="0"/>
        <w:overflowPunct w:val="0"/>
        <w:autoSpaceDE/>
        <w:autoSpaceDN/>
        <w:spacing w:before="62" w:beforeLines="20" w:after="78" w:afterLines="25" w:line="309" w:lineRule="exact"/>
        <w:ind w:firstLine="0" w:firstLineChars="0"/>
        <w:jc w:val="center"/>
        <w:rPr>
          <w:rFonts w:ascii="黑体" w:hAnsi="黑体" w:eastAsia="黑体" w:cs="黑体"/>
          <w:sz w:val="18"/>
          <w:szCs w:val="18"/>
        </w:rPr>
      </w:pPr>
      <w:r>
        <w:rPr>
          <w:rFonts w:hint="eastAsia" w:ascii="黑体" w:hAnsi="黑体" w:eastAsia="黑体" w:cs="黑体"/>
          <w:sz w:val="18"/>
          <w:szCs w:val="18"/>
        </w:rPr>
        <w:t>图D.3 坡</w:t>
      </w:r>
      <w:r>
        <w:rPr>
          <w:rFonts w:ascii="黑体" w:hAnsi="黑体" w:eastAsia="黑体" w:cs="黑体"/>
          <w:sz w:val="18"/>
          <w:szCs w:val="18"/>
        </w:rPr>
        <w:t>屋面构造示意图</w:t>
      </w:r>
    </w:p>
    <w:p w14:paraId="496B003E">
      <w:pPr>
        <w:overflowPunct w:val="0"/>
        <w:spacing w:line="360" w:lineRule="auto"/>
        <w:outlineLvl w:val="1"/>
        <w:rPr>
          <w:rStyle w:val="698"/>
          <w:color w:val="auto"/>
        </w:rPr>
      </w:pPr>
      <w:bookmarkStart w:id="78" w:name="_Toc12587"/>
      <w:bookmarkStart w:id="79" w:name="_Toc179270710"/>
      <w:bookmarkStart w:id="80" w:name="_Toc1802"/>
      <w:bookmarkStart w:id="81" w:name="_Toc9828"/>
      <w:r>
        <w:rPr>
          <w:rStyle w:val="698"/>
          <w:rFonts w:hint="eastAsia"/>
          <w:color w:val="auto"/>
        </w:rPr>
        <w:t>二、墙体</w:t>
      </w:r>
      <w:bookmarkEnd w:id="78"/>
      <w:bookmarkEnd w:id="79"/>
      <w:bookmarkEnd w:id="80"/>
      <w:bookmarkEnd w:id="81"/>
    </w:p>
    <w:p w14:paraId="7D98DE72">
      <w:pPr>
        <w:overflowPunct w:val="0"/>
        <w:ind w:firstLine="420"/>
        <w:outlineLvl w:val="2"/>
        <w:rPr>
          <w:rStyle w:val="698"/>
          <w:color w:val="auto"/>
        </w:rPr>
      </w:pPr>
      <w:r>
        <w:rPr>
          <w:rStyle w:val="698"/>
          <w:color w:val="auto"/>
        </w:rPr>
        <w:t>4．</w:t>
      </w:r>
      <w:r>
        <w:rPr>
          <w:rStyle w:val="698"/>
          <w:rFonts w:hint="eastAsia"/>
          <w:color w:val="auto"/>
        </w:rPr>
        <w:t>外墙</w:t>
      </w:r>
    </w:p>
    <w:p w14:paraId="3B326336">
      <w:pPr>
        <w:pStyle w:val="258"/>
        <w:widowControl w:val="0"/>
        <w:overflowPunct w:val="0"/>
        <w:autoSpaceDE/>
        <w:autoSpaceDN/>
        <w:spacing w:before="62" w:beforeLines="20" w:after="78" w:afterLines="25"/>
        <w:ind w:firstLine="0" w:firstLineChars="0"/>
        <w:jc w:val="center"/>
      </w:pPr>
      <w:r>
        <w:drawing>
          <wp:inline distT="0" distB="0" distL="114300" distR="114300">
            <wp:extent cx="4114800" cy="3302000"/>
            <wp:effectExtent l="0" t="0" r="0"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4144136" cy="3326108"/>
                    </a:xfrm>
                    <a:prstGeom prst="rect">
                      <a:avLst/>
                    </a:prstGeom>
                    <a:noFill/>
                    <a:ln>
                      <a:noFill/>
                    </a:ln>
                  </pic:spPr>
                </pic:pic>
              </a:graphicData>
            </a:graphic>
          </wp:inline>
        </w:drawing>
      </w:r>
    </w:p>
    <w:p w14:paraId="33E3E842">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hint="eastAsia" w:ascii="黑体" w:hAnsi="黑体" w:eastAsia="黑体" w:cs="黑体"/>
          <w:sz w:val="18"/>
          <w:szCs w:val="18"/>
        </w:rPr>
        <w:t>图D.4-1　薄抹灰外墙外保温构造</w:t>
      </w:r>
    </w:p>
    <w:p w14:paraId="19DF3D51">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drawing>
          <wp:inline distT="0" distB="0" distL="114300" distR="114300">
            <wp:extent cx="5932170" cy="3000375"/>
            <wp:effectExtent l="0" t="0" r="1143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5932170" cy="3000375"/>
                    </a:xfrm>
                    <a:prstGeom prst="rect">
                      <a:avLst/>
                    </a:prstGeom>
                    <a:noFill/>
                    <a:ln>
                      <a:noFill/>
                    </a:ln>
                  </pic:spPr>
                </pic:pic>
              </a:graphicData>
            </a:graphic>
          </wp:inline>
        </w:drawing>
      </w:r>
    </w:p>
    <w:p w14:paraId="3EF06711">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r>
        <w:rPr>
          <w:rFonts w:hint="eastAsia" w:ascii="黑体" w:hAnsi="黑体" w:eastAsia="黑体" w:cs="黑体"/>
          <w:sz w:val="18"/>
          <w:szCs w:val="18"/>
        </w:rPr>
        <w:t>图D.4-2　内保温构造</w:t>
      </w:r>
    </w:p>
    <w:p w14:paraId="3BE675D2">
      <w:pPr>
        <w:pStyle w:val="258"/>
        <w:widowControl w:val="0"/>
        <w:overflowPunct w:val="0"/>
        <w:autoSpaceDE/>
        <w:autoSpaceDN/>
        <w:spacing w:before="62" w:beforeLines="20" w:after="78" w:afterLines="25"/>
        <w:ind w:firstLine="0" w:firstLineChars="0"/>
        <w:jc w:val="center"/>
        <w:rPr>
          <w:rFonts w:ascii="黑体" w:hAnsi="黑体" w:eastAsia="黑体" w:cs="黑体"/>
          <w:sz w:val="18"/>
          <w:szCs w:val="18"/>
        </w:rPr>
      </w:pPr>
    </w:p>
    <w:p w14:paraId="2F0775C7">
      <w:pPr>
        <w:overflowPunct w:val="0"/>
        <w:ind w:firstLine="420"/>
        <w:outlineLvl w:val="2"/>
        <w:rPr>
          <w:rStyle w:val="698"/>
          <w:color w:val="auto"/>
        </w:rPr>
      </w:pPr>
      <w:r>
        <w:rPr>
          <w:rStyle w:val="698"/>
          <w:color w:val="auto"/>
        </w:rPr>
        <w:t>5．</w:t>
      </w:r>
      <w:r>
        <w:rPr>
          <w:rStyle w:val="698"/>
          <w:rFonts w:hint="eastAsia"/>
          <w:color w:val="auto"/>
        </w:rPr>
        <w:t>阴阳角</w:t>
      </w:r>
    </w:p>
    <w:p w14:paraId="462B6561">
      <w:pPr>
        <w:overflowPunct w:val="0"/>
        <w:jc w:val="center"/>
        <w:rPr>
          <w:rFonts w:ascii="黑体" w:hAnsi="黑体" w:cs="黑体"/>
          <w:sz w:val="18"/>
          <w:szCs w:val="18"/>
        </w:rPr>
      </w:pPr>
      <w:r>
        <w:drawing>
          <wp:inline distT="0" distB="0" distL="114300" distR="114300">
            <wp:extent cx="4528185" cy="3716020"/>
            <wp:effectExtent l="0" t="0" r="571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9"/>
                    <a:stretch>
                      <a:fillRect/>
                    </a:stretch>
                  </pic:blipFill>
                  <pic:spPr>
                    <a:xfrm>
                      <a:off x="0" y="0"/>
                      <a:ext cx="4547399" cy="3731916"/>
                    </a:xfrm>
                    <a:prstGeom prst="rect">
                      <a:avLst/>
                    </a:prstGeom>
                    <a:noFill/>
                    <a:ln>
                      <a:noFill/>
                    </a:ln>
                  </pic:spPr>
                </pic:pic>
              </a:graphicData>
            </a:graphic>
          </wp:inline>
        </w:drawing>
      </w:r>
    </w:p>
    <w:p w14:paraId="1262C213">
      <w:pPr>
        <w:overflowPunct w:val="0"/>
        <w:ind w:firstLine="180" w:firstLineChars="100"/>
        <w:jc w:val="center"/>
        <w:rPr>
          <w:rFonts w:ascii="黑体" w:hAnsi="黑体" w:eastAsia="黑体" w:cs="黑体"/>
          <w:sz w:val="18"/>
          <w:szCs w:val="18"/>
        </w:rPr>
      </w:pPr>
      <w:r>
        <w:rPr>
          <w:rFonts w:hint="eastAsia" w:ascii="黑体" w:hAnsi="黑体" w:eastAsia="黑体" w:cs="黑体"/>
          <w:sz w:val="18"/>
          <w:szCs w:val="18"/>
        </w:rPr>
        <w:t>图D.5-1 岩棉板幕墙系统外墙阴角</w:t>
      </w:r>
    </w:p>
    <w:p w14:paraId="51F681ED">
      <w:pPr>
        <w:overflowPunct w:val="0"/>
        <w:ind w:firstLine="180" w:firstLineChars="100"/>
        <w:rPr>
          <w:rFonts w:ascii="黑体" w:hAnsi="黑体" w:eastAsia="黑体" w:cs="黑体"/>
          <w:sz w:val="18"/>
          <w:szCs w:val="18"/>
        </w:rPr>
      </w:pPr>
    </w:p>
    <w:p w14:paraId="69FD3103">
      <w:pPr>
        <w:overflowPunct w:val="0"/>
        <w:jc w:val="center"/>
      </w:pPr>
      <w:r>
        <w:drawing>
          <wp:inline distT="0" distB="0" distL="114300" distR="114300">
            <wp:extent cx="4724400" cy="3890010"/>
            <wp:effectExtent l="0" t="0" r="0" b="152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4747882" cy="3909384"/>
                    </a:xfrm>
                    <a:prstGeom prst="rect">
                      <a:avLst/>
                    </a:prstGeom>
                    <a:noFill/>
                    <a:ln>
                      <a:noFill/>
                    </a:ln>
                  </pic:spPr>
                </pic:pic>
              </a:graphicData>
            </a:graphic>
          </wp:inline>
        </w:drawing>
      </w:r>
    </w:p>
    <w:p w14:paraId="049C2BDF">
      <w:pPr>
        <w:overflowPunct w:val="0"/>
        <w:ind w:firstLine="180" w:firstLineChars="100"/>
        <w:jc w:val="center"/>
        <w:rPr>
          <w:rFonts w:ascii="黑体" w:hAnsi="黑体" w:eastAsia="黑体" w:cs="黑体"/>
          <w:sz w:val="18"/>
          <w:szCs w:val="18"/>
        </w:rPr>
      </w:pPr>
      <w:r>
        <w:rPr>
          <w:rFonts w:hint="eastAsia" w:ascii="黑体" w:hAnsi="黑体" w:eastAsia="黑体" w:cs="黑体"/>
          <w:sz w:val="18"/>
          <w:szCs w:val="18"/>
        </w:rPr>
        <w:t>图D.5-2 岩棉板幕墙系统外墙阳角</w:t>
      </w:r>
    </w:p>
    <w:p w14:paraId="287FAA0C">
      <w:pPr>
        <w:overflowPunct w:val="0"/>
        <w:ind w:firstLine="210" w:firstLineChars="100"/>
        <w:jc w:val="center"/>
      </w:pPr>
    </w:p>
    <w:p w14:paraId="61C49E7C">
      <w:pPr>
        <w:overflowPunct w:val="0"/>
        <w:ind w:firstLine="420"/>
        <w:outlineLvl w:val="2"/>
        <w:rPr>
          <w:rStyle w:val="698"/>
          <w:color w:val="auto"/>
        </w:rPr>
      </w:pPr>
      <w:r>
        <w:rPr>
          <w:rStyle w:val="698"/>
          <w:color w:val="auto"/>
        </w:rPr>
        <w:t>6．</w:t>
      </w:r>
      <w:r>
        <w:rPr>
          <w:rStyle w:val="698"/>
          <w:rFonts w:hint="eastAsia"/>
          <w:color w:val="auto"/>
        </w:rPr>
        <w:t>电线盒节点</w:t>
      </w:r>
    </w:p>
    <w:p w14:paraId="31ADD1B6">
      <w:pPr>
        <w:overflowPunct w:val="0"/>
        <w:jc w:val="center"/>
      </w:pPr>
      <w:r>
        <w:drawing>
          <wp:inline distT="0" distB="0" distL="114300" distR="114300">
            <wp:extent cx="4121150" cy="3050540"/>
            <wp:effectExtent l="0" t="0" r="12700"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4124465" cy="3052855"/>
                    </a:xfrm>
                    <a:prstGeom prst="rect">
                      <a:avLst/>
                    </a:prstGeom>
                    <a:noFill/>
                    <a:ln>
                      <a:noFill/>
                    </a:ln>
                  </pic:spPr>
                </pic:pic>
              </a:graphicData>
            </a:graphic>
          </wp:inline>
        </w:drawing>
      </w:r>
    </w:p>
    <w:p w14:paraId="13326465">
      <w:pPr>
        <w:overflowPunct w:val="0"/>
        <w:jc w:val="center"/>
      </w:pPr>
      <w:r>
        <w:rPr>
          <w:rFonts w:hint="eastAsia" w:ascii="黑体" w:hAnsi="黑体" w:eastAsia="黑体" w:cs="黑体"/>
          <w:sz w:val="18"/>
          <w:szCs w:val="18"/>
        </w:rPr>
        <w:t>图D.6 电线盒节点构造示意图</w:t>
      </w:r>
    </w:p>
    <w:p w14:paraId="6317F101">
      <w:pPr>
        <w:overflowPunct w:val="0"/>
        <w:rPr>
          <w:rStyle w:val="698"/>
          <w:color w:val="auto"/>
        </w:rPr>
      </w:pPr>
    </w:p>
    <w:p w14:paraId="27F1DD11">
      <w:pPr>
        <w:overflowPunct w:val="0"/>
        <w:rPr>
          <w:rStyle w:val="698"/>
          <w:color w:val="auto"/>
        </w:rPr>
      </w:pPr>
    </w:p>
    <w:p w14:paraId="0513C3FF">
      <w:pPr>
        <w:overflowPunct w:val="0"/>
        <w:ind w:firstLine="420"/>
        <w:outlineLvl w:val="2"/>
        <w:rPr>
          <w:rStyle w:val="698"/>
          <w:color w:val="auto"/>
        </w:rPr>
      </w:pPr>
      <w:r>
        <w:rPr>
          <w:rStyle w:val="698"/>
          <w:color w:val="auto"/>
        </w:rPr>
        <w:t>7．</w:t>
      </w:r>
      <w:r>
        <w:rPr>
          <w:rStyle w:val="698"/>
          <w:rFonts w:hint="eastAsia"/>
          <w:color w:val="auto"/>
        </w:rPr>
        <w:t>雨水管节点</w:t>
      </w:r>
    </w:p>
    <w:p w14:paraId="2DFDC1BC">
      <w:pPr>
        <w:overflowPunct w:val="0"/>
        <w:jc w:val="center"/>
        <w:rPr>
          <w:rFonts w:ascii="黑体" w:hAnsi="黑体" w:eastAsia="黑体" w:cs="黑体"/>
          <w:sz w:val="18"/>
          <w:szCs w:val="18"/>
        </w:rPr>
      </w:pPr>
      <w:r>
        <w:drawing>
          <wp:inline distT="0" distB="0" distL="114300" distR="114300">
            <wp:extent cx="4355465" cy="3668395"/>
            <wp:effectExtent l="0" t="0" r="6985"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4367430" cy="3678572"/>
                    </a:xfrm>
                    <a:prstGeom prst="rect">
                      <a:avLst/>
                    </a:prstGeom>
                    <a:noFill/>
                    <a:ln>
                      <a:noFill/>
                    </a:ln>
                  </pic:spPr>
                </pic:pic>
              </a:graphicData>
            </a:graphic>
          </wp:inline>
        </w:drawing>
      </w:r>
    </w:p>
    <w:p w14:paraId="7E65DE21">
      <w:pPr>
        <w:overflowPunct w:val="0"/>
        <w:jc w:val="center"/>
        <w:rPr>
          <w:rFonts w:ascii="黑体" w:hAnsi="黑体" w:eastAsia="黑体" w:cs="黑体"/>
          <w:sz w:val="18"/>
          <w:szCs w:val="18"/>
        </w:rPr>
      </w:pPr>
      <w:r>
        <w:rPr>
          <w:rFonts w:hint="eastAsia" w:ascii="黑体" w:hAnsi="黑体" w:eastAsia="黑体" w:cs="黑体"/>
          <w:sz w:val="18"/>
          <w:szCs w:val="18"/>
        </w:rPr>
        <w:t>图D.7 外墙雨水管固定构造</w:t>
      </w:r>
    </w:p>
    <w:p w14:paraId="7C1B1B2E">
      <w:pPr>
        <w:overflowPunct w:val="0"/>
        <w:jc w:val="center"/>
        <w:rPr>
          <w:rFonts w:ascii="黑体" w:hAnsi="黑体" w:eastAsia="黑体" w:cs="黑体"/>
          <w:sz w:val="18"/>
          <w:szCs w:val="18"/>
        </w:rPr>
      </w:pPr>
    </w:p>
    <w:p w14:paraId="404736E0">
      <w:pPr>
        <w:overflowPunct w:val="0"/>
        <w:ind w:firstLine="420"/>
        <w:outlineLvl w:val="2"/>
        <w:rPr>
          <w:rStyle w:val="698"/>
          <w:color w:val="auto"/>
        </w:rPr>
      </w:pPr>
      <w:r>
        <w:rPr>
          <w:rStyle w:val="698"/>
          <w:color w:val="auto"/>
        </w:rPr>
        <w:t>8．</w:t>
      </w:r>
      <w:r>
        <w:rPr>
          <w:rStyle w:val="698"/>
          <w:rFonts w:hint="eastAsia"/>
          <w:color w:val="auto"/>
        </w:rPr>
        <w:t>管道穿外墙</w:t>
      </w:r>
    </w:p>
    <w:p w14:paraId="13A59CDF">
      <w:pPr>
        <w:overflowPunct w:val="0"/>
        <w:jc w:val="center"/>
        <w:rPr>
          <w:rFonts w:ascii="黑体" w:hAnsi="黑体" w:eastAsia="黑体" w:cs="黑体"/>
          <w:sz w:val="18"/>
          <w:szCs w:val="18"/>
        </w:rPr>
      </w:pPr>
      <w:r>
        <w:drawing>
          <wp:inline distT="0" distB="0" distL="114300" distR="114300">
            <wp:extent cx="4932045" cy="2806700"/>
            <wp:effectExtent l="0" t="0" r="190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tretch>
                      <a:fillRect/>
                    </a:stretch>
                  </pic:blipFill>
                  <pic:spPr>
                    <a:xfrm>
                      <a:off x="0" y="0"/>
                      <a:ext cx="4943474" cy="2813297"/>
                    </a:xfrm>
                    <a:prstGeom prst="rect">
                      <a:avLst/>
                    </a:prstGeom>
                    <a:noFill/>
                    <a:ln>
                      <a:noFill/>
                    </a:ln>
                  </pic:spPr>
                </pic:pic>
              </a:graphicData>
            </a:graphic>
          </wp:inline>
        </w:drawing>
      </w:r>
    </w:p>
    <w:p w14:paraId="500A550C">
      <w:pPr>
        <w:overflowPunct w:val="0"/>
        <w:jc w:val="center"/>
        <w:rPr>
          <w:rFonts w:ascii="黑体" w:hAnsi="黑体" w:eastAsia="黑体" w:cs="黑体"/>
          <w:sz w:val="18"/>
          <w:szCs w:val="18"/>
        </w:rPr>
      </w:pPr>
      <w:r>
        <w:rPr>
          <w:rFonts w:hint="eastAsia" w:ascii="黑体" w:hAnsi="黑体" w:eastAsia="黑体" w:cs="黑体"/>
          <w:sz w:val="18"/>
          <w:szCs w:val="18"/>
        </w:rPr>
        <w:t>图D.8-1 电线管穿外墙构造</w:t>
      </w:r>
    </w:p>
    <w:p w14:paraId="2FA141E8">
      <w:pPr>
        <w:overflowPunct w:val="0"/>
        <w:jc w:val="center"/>
        <w:rPr>
          <w:rFonts w:ascii="黑体" w:hAnsi="黑体" w:eastAsia="黑体" w:cs="黑体"/>
          <w:sz w:val="18"/>
          <w:szCs w:val="18"/>
        </w:rPr>
      </w:pPr>
    </w:p>
    <w:p w14:paraId="294A53E0">
      <w:pPr>
        <w:overflowPunct w:val="0"/>
        <w:jc w:val="center"/>
      </w:pPr>
      <w:r>
        <w:drawing>
          <wp:inline distT="0" distB="0" distL="114300" distR="114300">
            <wp:extent cx="4222750" cy="3485515"/>
            <wp:effectExtent l="0" t="0" r="635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4239666" cy="3499516"/>
                    </a:xfrm>
                    <a:prstGeom prst="rect">
                      <a:avLst/>
                    </a:prstGeom>
                    <a:noFill/>
                    <a:ln>
                      <a:noFill/>
                    </a:ln>
                  </pic:spPr>
                </pic:pic>
              </a:graphicData>
            </a:graphic>
          </wp:inline>
        </w:drawing>
      </w:r>
    </w:p>
    <w:p w14:paraId="73AB98D0">
      <w:pPr>
        <w:overflowPunct w:val="0"/>
        <w:jc w:val="center"/>
        <w:rPr>
          <w:rFonts w:ascii="黑体" w:hAnsi="黑体" w:eastAsia="黑体" w:cs="黑体"/>
          <w:sz w:val="18"/>
          <w:szCs w:val="18"/>
        </w:rPr>
      </w:pPr>
      <w:r>
        <w:rPr>
          <w:rFonts w:hint="eastAsia" w:ascii="黑体" w:hAnsi="黑体" w:eastAsia="黑体" w:cs="黑体"/>
          <w:sz w:val="18"/>
          <w:szCs w:val="18"/>
        </w:rPr>
        <w:t>图D.8-2 风管穿外墙构造</w:t>
      </w:r>
    </w:p>
    <w:p w14:paraId="31009B93">
      <w:pPr>
        <w:overflowPunct w:val="0"/>
      </w:pPr>
    </w:p>
    <w:p w14:paraId="4727EC69">
      <w:pPr>
        <w:overflowPunct w:val="0"/>
        <w:spacing w:line="360" w:lineRule="auto"/>
        <w:outlineLvl w:val="1"/>
        <w:rPr>
          <w:rStyle w:val="698"/>
          <w:color w:val="auto"/>
        </w:rPr>
      </w:pPr>
      <w:bookmarkStart w:id="82" w:name="_Toc188"/>
      <w:bookmarkStart w:id="83" w:name="_Toc16246"/>
      <w:bookmarkStart w:id="84" w:name="_Toc179270711"/>
      <w:bookmarkStart w:id="85" w:name="_Toc21183"/>
      <w:r>
        <w:rPr>
          <w:rStyle w:val="698"/>
          <w:rFonts w:hint="eastAsia"/>
          <w:color w:val="auto"/>
        </w:rPr>
        <w:t>三、外门窗</w:t>
      </w:r>
      <w:bookmarkEnd w:id="82"/>
      <w:bookmarkEnd w:id="83"/>
      <w:bookmarkEnd w:id="84"/>
      <w:bookmarkEnd w:id="85"/>
    </w:p>
    <w:p w14:paraId="50798321">
      <w:pPr>
        <w:overflowPunct w:val="0"/>
        <w:ind w:firstLine="420"/>
        <w:outlineLvl w:val="2"/>
        <w:rPr>
          <w:rStyle w:val="698"/>
          <w:color w:val="auto"/>
        </w:rPr>
      </w:pPr>
      <w:r>
        <w:rPr>
          <w:rStyle w:val="698"/>
          <w:color w:val="auto"/>
        </w:rPr>
        <w:t>9．</w:t>
      </w:r>
      <w:r>
        <w:rPr>
          <w:rStyle w:val="698"/>
          <w:rFonts w:hint="eastAsia"/>
          <w:color w:val="auto"/>
        </w:rPr>
        <w:t>平开窗构造</w:t>
      </w:r>
    </w:p>
    <w:p w14:paraId="6ABD85BA">
      <w:pPr>
        <w:widowControl/>
        <w:overflowPunct w:val="0"/>
        <w:adjustRightInd w:val="0"/>
        <w:snapToGrid w:val="0"/>
        <w:jc w:val="center"/>
        <w:textAlignment w:val="baseline"/>
        <w:rPr>
          <w:rFonts w:ascii="Times New Roman" w:hAnsi="Times New Roman" w:eastAsia="宋体" w:cs="Times New Roman"/>
          <w:position w:val="-169"/>
          <w:szCs w:val="21"/>
        </w:rPr>
      </w:pPr>
      <w:r>
        <w:drawing>
          <wp:inline distT="0" distB="0" distL="114300" distR="114300">
            <wp:extent cx="5330825" cy="3374390"/>
            <wp:effectExtent l="0" t="0" r="3175" b="165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5"/>
                    <a:stretch>
                      <a:fillRect/>
                    </a:stretch>
                  </pic:blipFill>
                  <pic:spPr>
                    <a:xfrm>
                      <a:off x="0" y="0"/>
                      <a:ext cx="5340699" cy="3381051"/>
                    </a:xfrm>
                    <a:prstGeom prst="rect">
                      <a:avLst/>
                    </a:prstGeom>
                    <a:noFill/>
                    <a:ln>
                      <a:noFill/>
                    </a:ln>
                  </pic:spPr>
                </pic:pic>
              </a:graphicData>
            </a:graphic>
          </wp:inline>
        </w:drawing>
      </w:r>
    </w:p>
    <w:p w14:paraId="0B6604AB">
      <w:pPr>
        <w:overflowPunct w:val="0"/>
        <w:jc w:val="center"/>
        <w:rPr>
          <w:rFonts w:ascii="黑体" w:hAnsi="黑体" w:eastAsia="黑体" w:cs="黑体"/>
          <w:sz w:val="18"/>
          <w:szCs w:val="18"/>
        </w:rPr>
      </w:pPr>
    </w:p>
    <w:p w14:paraId="2DEDB341">
      <w:pPr>
        <w:overflowPunct w:val="0"/>
        <w:jc w:val="center"/>
        <w:rPr>
          <w:rFonts w:ascii="黑体" w:hAnsi="黑体" w:eastAsia="黑体" w:cs="黑体"/>
          <w:sz w:val="18"/>
          <w:szCs w:val="18"/>
        </w:rPr>
      </w:pPr>
      <w:r>
        <w:rPr>
          <w:rFonts w:hint="eastAsia" w:ascii="黑体" w:hAnsi="黑体" w:eastAsia="黑体" w:cs="黑体"/>
          <w:sz w:val="18"/>
          <w:szCs w:val="18"/>
        </w:rPr>
        <w:t>图D.9 平开窗节点构造</w:t>
      </w:r>
    </w:p>
    <w:p w14:paraId="3B191283">
      <w:pPr>
        <w:rPr>
          <w:rFonts w:hint="default"/>
          <w:lang w:val="en-US" w:eastAsia="zh-CN"/>
        </w:rPr>
      </w:pPr>
    </w:p>
    <w:sectPr>
      <w:headerReference r:id="rId11" w:type="default"/>
      <w:footerReference r:id="rId12" w:type="default"/>
      <w:pgSz w:w="11907" w:h="16839"/>
      <w:pgMar w:top="1417" w:right="1134" w:bottom="1134" w:left="1417" w:header="1417" w:footer="1134"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8A311">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III</w:t>
    </w:r>
    <w:r>
      <w:rPr>
        <w:rStyle w:val="234"/>
      </w:rPr>
      <w:fldChar w:fldCharType="end"/>
    </w:r>
  </w:p>
  <w:p w14:paraId="1A5F8EAD">
    <w:pPr>
      <w:pStyle w:val="252"/>
      <w:ind w:right="360"/>
      <w:jc w:val="both"/>
      <w:rPr>
        <w:rStyle w:val="23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D9072">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18</w:t>
    </w:r>
    <w:r>
      <w:rPr>
        <w:rStyle w:val="234"/>
      </w:rPr>
      <w:fldChar w:fldCharType="end"/>
    </w:r>
  </w:p>
  <w:p w14:paraId="2D1A2DB5">
    <w:pPr>
      <w:pStyle w:val="251"/>
      <w:ind w:right="360" w:firstLine="360"/>
      <w:rPr>
        <w:rStyle w:val="2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6F826">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58095">
    <w:pPr>
      <w:pStyle w:val="252"/>
      <w:ind w:right="360"/>
      <w:jc w:val="center"/>
      <w:rPr>
        <w:rStyle w:val="23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758669">
                          <w:pPr>
                            <w:pStyle w:val="5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52758669">
                    <w:pPr>
                      <w:pStyle w:val="5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E7A01">
    <w:pPr>
      <w:pStyle w:val="252"/>
      <w:ind w:right="360" w:firstLine="360"/>
      <w:rPr>
        <w:rStyle w:val="23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F055B84">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19</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7F055B84">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19</w:t>
                    </w:r>
                    <w:r>
                      <w:rPr>
                        <w:rStyle w:val="23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A4B52">
    <w:pPr>
      <w:pStyle w:val="61"/>
      <w:pBdr>
        <w:top w:val="none" w:color="auto" w:sz="0" w:space="0"/>
        <w:left w:val="none" w:color="auto" w:sz="0" w:space="0"/>
        <w:bottom w:val="single" w:color="auto" w:sz="4" w:space="1"/>
        <w:right w:val="none" w:color="auto" w:sz="0" w:space="0"/>
        <w:between w:val="none" w:color="auto" w:sz="0" w:space="0"/>
      </w:pBdr>
      <w:rPr>
        <w:rFonts w:hint="eastAsia"/>
        <w:color w:val="auto"/>
        <w:lang w:eastAsia="zh-CN"/>
      </w:rPr>
    </w:pPr>
    <w:r>
      <w:rPr>
        <w:rFonts w:hint="eastAsia"/>
      </w:rPr>
      <w:t>武汉市超低能耗建筑技术导则</w:t>
    </w:r>
  </w:p>
  <w:p w14:paraId="6D72F186">
    <w:pPr>
      <w:pStyle w:val="61"/>
      <w:pBdr>
        <w:top w:val="none" w:color="auto" w:sz="0" w:space="0"/>
        <w:left w:val="none" w:color="auto" w:sz="0" w:space="0"/>
        <w:bottom w:val="none" w:color="auto" w:sz="0" w:space="1"/>
        <w:right w:val="none" w:color="auto" w:sz="0" w:space="0"/>
        <w:between w:val="none" w:color="auto" w:sz="0" w:space="0"/>
      </w:pBdr>
      <w:tabs>
        <w:tab w:val="left" w:pos="3842"/>
      </w:tabs>
      <w:jc w:val="left"/>
      <w:rPr>
        <w:rFonts w:hint="eastAsia" w:eastAsia="宋体"/>
        <w:lang w:eastAsia="zh-CN"/>
      </w:rPr>
    </w:pP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B2EC8">
    <w:pPr>
      <w:pStyle w:val="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56F2C">
    <w:pPr>
      <w:pStyle w:val="25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05C4">
    <w:pPr>
      <w:pStyle w:val="61"/>
      <w:pBdr>
        <w:top w:val="none" w:color="auto" w:sz="0" w:space="0"/>
        <w:left w:val="none" w:color="auto" w:sz="0" w:space="0"/>
        <w:bottom w:val="single" w:color="auto" w:sz="4" w:space="1"/>
        <w:right w:val="none" w:color="auto" w:sz="0" w:space="0"/>
        <w:between w:val="none" w:color="auto" w:sz="0" w:space="0"/>
      </w:pBdr>
      <w:rPr>
        <w:rFonts w:hint="eastAsia"/>
        <w:color w:val="auto"/>
        <w:lang w:eastAsia="zh-CN"/>
      </w:rPr>
    </w:pPr>
    <w:r>
      <w:rPr>
        <w:rFonts w:hint="eastAsia"/>
      </w:rPr>
      <w:t>武汉市超低能耗建筑技术导则</w:t>
    </w:r>
  </w:p>
  <w:p w14:paraId="4DB66307">
    <w:pPr>
      <w:pStyle w:val="61"/>
      <w:pBdr>
        <w:top w:val="none" w:color="auto" w:sz="0" w:space="0"/>
        <w:left w:val="none" w:color="auto" w:sz="0" w:space="0"/>
        <w:bottom w:val="none" w:color="auto" w:sz="0" w:space="1"/>
        <w:right w:val="none" w:color="auto" w:sz="0" w:space="0"/>
        <w:between w:val="none" w:color="auto" w:sz="0" w:space="0"/>
      </w:pBdr>
      <w:tabs>
        <w:tab w:val="left" w:pos="3842"/>
      </w:tabs>
      <w:jc w:val="left"/>
      <w:rPr>
        <w:rFonts w:hint="eastAsia" w:eastAsia="宋体"/>
        <w:lang w:eastAsia="zh-CN"/>
      </w:rPr>
    </w:pPr>
    <w:r>
      <w:rPr>
        <w:rFonts w:hint="eastAsia"/>
        <w:lang w:eastAsia="zh-CN"/>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D41EB">
    <w:pPr>
      <w:pStyle w:val="61"/>
      <w:pBdr>
        <w:top w:val="none" w:color="auto" w:sz="0" w:space="0"/>
        <w:left w:val="none" w:color="auto" w:sz="0" w:space="0"/>
        <w:bottom w:val="single" w:color="auto" w:sz="4" w:space="1"/>
        <w:right w:val="none" w:color="auto" w:sz="0" w:space="0"/>
        <w:between w:val="none" w:color="auto" w:sz="0" w:space="0"/>
      </w:pBdr>
      <w:rPr>
        <w:rFonts w:hint="eastAsia"/>
        <w:color w:val="auto"/>
        <w:lang w:eastAsia="zh-CN"/>
      </w:rPr>
    </w:pPr>
    <w:r>
      <w:rPr>
        <w:rFonts w:hint="eastAsia"/>
      </w:rPr>
      <w:t>武汉市超低能耗建筑技术导则</w:t>
    </w:r>
  </w:p>
  <w:p w14:paraId="20E6FB15">
    <w:pPr>
      <w:pStyle w:val="61"/>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6340B"/>
    <w:multiLevelType w:val="singleLevel"/>
    <w:tmpl w:val="8C46340B"/>
    <w:lvl w:ilvl="0" w:tentative="0">
      <w:start w:val="1"/>
      <w:numFmt w:val="decimal"/>
      <w:suff w:val="nothing"/>
      <w:lvlText w:val="%1"/>
      <w:lvlJc w:val="left"/>
      <w:pPr>
        <w:tabs>
          <w:tab w:val="left" w:pos="420"/>
        </w:tabs>
        <w:ind w:left="0" w:leftChars="0" w:firstLine="420" w:firstLineChars="0"/>
      </w:pPr>
      <w:rPr>
        <w:rFonts w:hint="default" w:ascii="黑体" w:hAnsi="黑体"/>
        <w:color w:val="auto"/>
      </w:rPr>
    </w:lvl>
  </w:abstractNum>
  <w:abstractNum w:abstractNumId="1">
    <w:nsid w:val="95EA5DB7"/>
    <w:multiLevelType w:val="singleLevel"/>
    <w:tmpl w:val="95EA5DB7"/>
    <w:lvl w:ilvl="0" w:tentative="0">
      <w:start w:val="1"/>
      <w:numFmt w:val="decimal"/>
      <w:suff w:val="nothing"/>
      <w:lvlText w:val="%1"/>
      <w:lvlJc w:val="left"/>
      <w:pPr>
        <w:tabs>
          <w:tab w:val="left" w:pos="420"/>
        </w:tabs>
        <w:ind w:left="0" w:leftChars="0" w:firstLine="420" w:firstLineChars="0"/>
      </w:pPr>
      <w:rPr>
        <w:rFonts w:hint="default" w:ascii="黑体" w:hAnsi="黑体"/>
        <w:color w:val="auto"/>
      </w:rPr>
    </w:lvl>
  </w:abstractNum>
  <w:abstractNum w:abstractNumId="2">
    <w:nsid w:val="BA982CD9"/>
    <w:multiLevelType w:val="singleLevel"/>
    <w:tmpl w:val="BA982CD9"/>
    <w:lvl w:ilvl="0" w:tentative="0">
      <w:start w:val="1"/>
      <w:numFmt w:val="decimal"/>
      <w:suff w:val="nothing"/>
      <w:lvlText w:val="%1"/>
      <w:lvlJc w:val="left"/>
      <w:pPr>
        <w:tabs>
          <w:tab w:val="left" w:pos="420"/>
        </w:tabs>
        <w:ind w:left="0" w:leftChars="0" w:firstLine="420" w:firstLineChars="0"/>
      </w:pPr>
      <w:rPr>
        <w:rFonts w:hint="default" w:ascii="黑体" w:hAnsi="黑体"/>
        <w:color w:val="auto"/>
      </w:rPr>
    </w:lvl>
  </w:abstractNum>
  <w:abstractNum w:abstractNumId="3">
    <w:nsid w:val="EF1EE2F5"/>
    <w:multiLevelType w:val="singleLevel"/>
    <w:tmpl w:val="EF1EE2F5"/>
    <w:lvl w:ilvl="0" w:tentative="0">
      <w:start w:val="1"/>
      <w:numFmt w:val="decimal"/>
      <w:suff w:val="nothing"/>
      <w:lvlText w:val="%1"/>
      <w:lvlJc w:val="left"/>
      <w:pPr>
        <w:tabs>
          <w:tab w:val="left" w:pos="420"/>
        </w:tabs>
        <w:ind w:left="0" w:leftChars="0" w:firstLine="420" w:firstLineChars="0"/>
      </w:pPr>
      <w:rPr>
        <w:rFonts w:hint="default" w:ascii="黑体" w:hAnsi="黑体"/>
        <w:color w:val="auto"/>
      </w:rPr>
    </w:lvl>
  </w:abstractNum>
  <w:abstractNum w:abstractNumId="4">
    <w:nsid w:val="F0C98D03"/>
    <w:multiLevelType w:val="multilevel"/>
    <w:tmpl w:val="F0C98D03"/>
    <w:lvl w:ilvl="0" w:tentative="0">
      <w:start w:val="1"/>
      <w:numFmt w:val="decimal"/>
      <w:suff w:val="nothing"/>
      <w:lvlText w:val="A.2.%1"/>
      <w:lvlJc w:val="left"/>
      <w:pPr>
        <w:tabs>
          <w:tab w:val="left" w:pos="0"/>
        </w:tabs>
        <w:ind w:left="0" w:firstLine="0"/>
      </w:pPr>
      <w:rPr>
        <w:rFonts w:hint="default" w:ascii="黑体" w:hAnsi="黑体" w:eastAsia="宋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F28AE518"/>
    <w:multiLevelType w:val="multilevel"/>
    <w:tmpl w:val="F28AE518"/>
    <w:lvl w:ilvl="0" w:tentative="0">
      <w:start w:val="1"/>
      <w:numFmt w:val="decimal"/>
      <w:suff w:val="nothing"/>
      <w:lvlText w:val="A.1.%1"/>
      <w:lvlJc w:val="left"/>
      <w:pPr>
        <w:tabs>
          <w:tab w:val="left" w:pos="0"/>
        </w:tabs>
        <w:ind w:left="0" w:firstLine="0"/>
      </w:pPr>
      <w:rPr>
        <w:rFonts w:hint="default" w:ascii="黑体" w:hAnsi="黑体" w:eastAsia="宋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7">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8">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9">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10">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11">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12">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13">
    <w:nsid w:val="FFFFFF83"/>
    <w:multiLevelType w:val="singleLevel"/>
    <w:tmpl w:val="FFFFFF83"/>
    <w:lvl w:ilvl="0" w:tentative="0">
      <w:start w:val="1"/>
      <w:numFmt w:val="bullet"/>
      <w:pStyle w:val="46"/>
      <w:lvlText w:val=""/>
      <w:lvlJc w:val="left"/>
      <w:pPr>
        <w:tabs>
          <w:tab w:val="left" w:pos="780"/>
        </w:tabs>
        <w:ind w:left="780" w:leftChars="200" w:hanging="360" w:hangingChars="200"/>
      </w:pPr>
      <w:rPr>
        <w:rFonts w:hint="default" w:ascii="Wingdings" w:hAnsi="Wingdings"/>
      </w:rPr>
    </w:lvl>
  </w:abstractNum>
  <w:abstractNum w:abstractNumId="14">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15">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16">
    <w:nsid w:val="00AA2553"/>
    <w:multiLevelType w:val="multilevel"/>
    <w:tmpl w:val="00AA2553"/>
    <w:lvl w:ilvl="0" w:tentative="0">
      <w:start w:val="1"/>
      <w:numFmt w:val="none"/>
      <w:pStyle w:val="347"/>
      <w:suff w:val="nothing"/>
      <w:lvlText w:val="5  "/>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5.%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5.1.%3　"/>
      <w:lvlJc w:val="left"/>
      <w:pPr>
        <w:ind w:left="709"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03905A0A"/>
    <w:multiLevelType w:val="multilevel"/>
    <w:tmpl w:val="03905A0A"/>
    <w:lvl w:ilvl="0" w:tentative="0">
      <w:start w:val="1"/>
      <w:numFmt w:val="none"/>
      <w:suff w:val="nothing"/>
      <w:lvlText w:val="5  "/>
      <w:lvlJc w:val="left"/>
      <w:pPr>
        <w:ind w:left="0" w:firstLine="0"/>
      </w:pPr>
      <w:rPr>
        <w:rFonts w:hint="eastAsia" w:ascii="黑体" w:hAnsi="Times New Roman" w:eastAsia="黑体"/>
        <w:b w:val="0"/>
        <w:i w:val="0"/>
        <w:spacing w:val="0"/>
        <w:w w:val="100"/>
        <w:sz w:val="21"/>
      </w:rPr>
    </w:lvl>
    <w:lvl w:ilvl="1" w:tentative="0">
      <w:start w:val="3"/>
      <w:numFmt w:val="decimal"/>
      <w:suff w:val="nothing"/>
      <w:lvlText w:val="%15.%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5.3.%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05A24854"/>
    <w:multiLevelType w:val="multilevel"/>
    <w:tmpl w:val="05A24854"/>
    <w:lvl w:ilvl="0" w:tentative="0">
      <w:start w:val="1"/>
      <w:numFmt w:val="decimal"/>
      <w:lvlText w:val="%1"/>
      <w:lvlJc w:val="left"/>
      <w:pPr>
        <w:ind w:left="425" w:hanging="425"/>
      </w:pPr>
      <w:rPr>
        <w:rFonts w:hint="eastAsia"/>
      </w:rPr>
    </w:lvl>
    <w:lvl w:ilvl="1" w:tentative="0">
      <w:start w:val="1"/>
      <w:numFmt w:val="decimal"/>
      <w:suff w:val="nothing"/>
      <w:lvlText w:val="5.%2  "/>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21">
    <w:nsid w:val="0B7131FF"/>
    <w:multiLevelType w:val="multilevel"/>
    <w:tmpl w:val="0B7131FF"/>
    <w:lvl w:ilvl="0" w:tentative="0">
      <w:start w:val="1"/>
      <w:numFmt w:val="bullet"/>
      <w:pStyle w:val="669"/>
      <w:lvlText w:val=""/>
      <w:lvlJc w:val="left"/>
      <w:pPr>
        <w:ind w:left="1080" w:hanging="360"/>
      </w:pPr>
      <w:rPr>
        <w:rFonts w:hint="default" w:ascii="Symbol" w:hAnsi="Symbol"/>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0BCC4EEE"/>
    <w:multiLevelType w:val="multilevel"/>
    <w:tmpl w:val="0BCC4EEE"/>
    <w:lvl w:ilvl="0" w:tentative="0">
      <w:start w:val="1"/>
      <w:numFmt w:val="upperLetter"/>
      <w:suff w:val="nothing"/>
      <w:lvlText w:val="%1"/>
      <w:lvlJc w:val="left"/>
      <w:pPr>
        <w:ind w:left="0" w:firstLine="0"/>
      </w:pPr>
      <w:rPr>
        <w:rFonts w:hint="eastAsia"/>
      </w:rPr>
    </w:lvl>
    <w:lvl w:ilvl="1" w:tentative="0">
      <w:start w:val="1"/>
      <w:numFmt w:val="decimal"/>
      <w:lvlText w:val="B.%2"/>
      <w:lvlJc w:val="left"/>
      <w:pPr>
        <w:ind w:left="992" w:hanging="567"/>
      </w:pPr>
      <w:rPr>
        <w:rFonts w:hint="eastAsia"/>
      </w:rPr>
    </w:lvl>
    <w:lvl w:ilvl="2" w:tentative="0">
      <w:start w:val="1"/>
      <w:numFmt w:val="decimal"/>
      <w:suff w:val="nothing"/>
      <w:lvlText w:val="B.3.%3  "/>
      <w:lvlJc w:val="left"/>
      <w:pPr>
        <w:ind w:left="0" w:firstLine="0"/>
      </w:pPr>
      <w:rPr>
        <w:rFonts w:hint="eastAsia" w:ascii="黑体" w:hAnsi="黑体" w:eastAsia="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24">
    <w:nsid w:val="0D5406AF"/>
    <w:multiLevelType w:val="multilevel"/>
    <w:tmpl w:val="0D5406AF"/>
    <w:lvl w:ilvl="0" w:tentative="0">
      <w:start w:val="1"/>
      <w:numFmt w:val="none"/>
      <w:suff w:val="nothing"/>
      <w:lvlText w:val="7  "/>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7.%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7.1.%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13FB3D15"/>
    <w:multiLevelType w:val="multilevel"/>
    <w:tmpl w:val="13FB3D15"/>
    <w:lvl w:ilvl="0" w:tentative="0">
      <w:start w:val="1"/>
      <w:numFmt w:val="bullet"/>
      <w:pStyle w:val="649"/>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6">
    <w:nsid w:val="16A610AA"/>
    <w:multiLevelType w:val="multilevel"/>
    <w:tmpl w:val="16A610AA"/>
    <w:lvl w:ilvl="0" w:tentative="0">
      <w:start w:val="1"/>
      <w:numFmt w:val="decimal"/>
      <w:suff w:val="nothing"/>
      <w:lvlText w:val="3.0.%1  "/>
      <w:lvlJc w:val="left"/>
      <w:pPr>
        <w:ind w:left="0" w:firstLine="0"/>
      </w:pPr>
      <w:rPr>
        <w:rFonts w:hint="eastAsia" w:ascii="黑体" w:hAnsi="黑体" w:eastAsia="黑体"/>
      </w:rPr>
    </w:lvl>
    <w:lvl w:ilvl="1" w:tentative="0">
      <w:start w:val="1"/>
      <w:numFmt w:val="lowerLetter"/>
      <w:lvlText w:val="%2)"/>
      <w:lvlJc w:val="left"/>
      <w:pPr>
        <w:ind w:left="840" w:hanging="420"/>
      </w:pPr>
      <w:rPr>
        <w:rFonts w:hint="eastAsia"/>
      </w:rPr>
    </w:lvl>
    <w:lvl w:ilvl="2" w:tentative="0">
      <w:start w:val="1"/>
      <w:numFmt w:val="decimal"/>
      <w:suff w:val="nothing"/>
      <w:lvlText w:val="3.0.%3"/>
      <w:lvlJc w:val="left"/>
      <w:pPr>
        <w:ind w:left="0" w:firstLine="0"/>
      </w:pPr>
      <w:rPr>
        <w:rFonts w:hint="eastAsia" w:ascii="黑体" w:hAnsi="黑体" w:eastAsia="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188D7E07"/>
    <w:multiLevelType w:val="multilevel"/>
    <w:tmpl w:val="188D7E07"/>
    <w:lvl w:ilvl="0" w:tentative="0">
      <w:start w:val="1"/>
      <w:numFmt w:val="decimal"/>
      <w:suff w:val="nothing"/>
      <w:lvlText w:val="4.1.%1  "/>
      <w:lvlJc w:val="left"/>
      <w:pPr>
        <w:ind w:left="0" w:firstLine="0"/>
      </w:pPr>
      <w:rPr>
        <w:rFonts w:hint="eastAsia" w:ascii="黑体" w:hAnsi="黑体" w:eastAsia="黑体"/>
      </w:rPr>
    </w:lvl>
    <w:lvl w:ilvl="1" w:tentative="0">
      <w:start w:val="1"/>
      <w:numFmt w:val="lowerLetter"/>
      <w:lvlText w:val="%2)"/>
      <w:lvlJc w:val="left"/>
      <w:pPr>
        <w:ind w:left="840" w:hanging="420"/>
      </w:pPr>
      <w:rPr>
        <w:rFonts w:hint="eastAsia"/>
      </w:rPr>
    </w:lvl>
    <w:lvl w:ilvl="2" w:tentative="0">
      <w:start w:val="1"/>
      <w:numFmt w:val="decimal"/>
      <w:suff w:val="nothing"/>
      <w:lvlText w:val="3.0.%3"/>
      <w:lvlJc w:val="left"/>
      <w:pPr>
        <w:ind w:left="0" w:firstLine="0"/>
      </w:pPr>
      <w:rPr>
        <w:rFonts w:hint="eastAsia" w:ascii="黑体" w:hAnsi="黑体" w:eastAsia="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1AA43191"/>
    <w:multiLevelType w:val="multilevel"/>
    <w:tmpl w:val="1AA43191"/>
    <w:lvl w:ilvl="0" w:tentative="0">
      <w:start w:val="1"/>
      <w:numFmt w:val="decimal"/>
      <w:suff w:val="nothing"/>
      <w:lvlText w:val="4.%1  "/>
      <w:lvlJc w:val="left"/>
      <w:pPr>
        <w:ind w:left="0" w:firstLine="0"/>
      </w:pPr>
      <w:rPr>
        <w:rFonts w:hint="eastAsia" w:ascii="黑体" w:hAnsi="黑体" w:eastAsia="黑体"/>
      </w:rPr>
    </w:lvl>
    <w:lvl w:ilvl="1" w:tentative="0">
      <w:start w:val="1"/>
      <w:numFmt w:val="lowerLetter"/>
      <w:lvlText w:val="%2)"/>
      <w:lvlJc w:val="left"/>
      <w:pPr>
        <w:ind w:left="840" w:hanging="420"/>
      </w:pPr>
      <w:rPr>
        <w:rFonts w:hint="eastAsia"/>
      </w:rPr>
    </w:lvl>
    <w:lvl w:ilvl="2" w:tentative="0">
      <w:start w:val="1"/>
      <w:numFmt w:val="decimal"/>
      <w:suff w:val="nothing"/>
      <w:lvlText w:val="3.0.%3"/>
      <w:lvlJc w:val="left"/>
      <w:pPr>
        <w:ind w:left="0" w:firstLine="0"/>
      </w:pPr>
      <w:rPr>
        <w:rFonts w:hint="eastAsia" w:ascii="黑体" w:hAnsi="黑体" w:eastAsia="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9">
    <w:nsid w:val="1C115E79"/>
    <w:multiLevelType w:val="multilevel"/>
    <w:tmpl w:val="1C115E79"/>
    <w:lvl w:ilvl="0" w:tentative="0">
      <w:start w:val="1"/>
      <w:numFmt w:val="none"/>
      <w:suff w:val="nothing"/>
      <w:lvlText w:val="5  "/>
      <w:lvlJc w:val="left"/>
      <w:pPr>
        <w:ind w:left="0" w:firstLine="0"/>
      </w:pPr>
      <w:rPr>
        <w:rFonts w:hint="eastAsia" w:ascii="黑体" w:hAnsi="Times New Roman" w:eastAsia="黑体"/>
        <w:b w:val="0"/>
        <w:i w:val="0"/>
        <w:spacing w:val="0"/>
        <w:w w:val="100"/>
        <w:sz w:val="21"/>
      </w:rPr>
    </w:lvl>
    <w:lvl w:ilvl="1" w:tentative="0">
      <w:start w:val="4"/>
      <w:numFmt w:val="decimal"/>
      <w:suff w:val="nothing"/>
      <w:lvlText w:val="%15.%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5.4.%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61"/>
      <w:suff w:val="nothing"/>
      <w:lvlText w:val="%1.%2.%3　"/>
      <w:lvlJc w:val="left"/>
      <w:pPr>
        <w:ind w:left="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23012116"/>
    <w:multiLevelType w:val="multilevel"/>
    <w:tmpl w:val="23012116"/>
    <w:lvl w:ilvl="0" w:tentative="0">
      <w:start w:val="1"/>
      <w:numFmt w:val="decimal"/>
      <w:pStyle w:val="530"/>
      <w:lvlText w:val="%1 "/>
      <w:lvlJc w:val="left"/>
      <w:pPr>
        <w:ind w:left="420" w:hanging="420"/>
      </w:pPr>
      <w:rPr>
        <w:rFonts w:hint="eastAsia" w:ascii="黑体" w:hAnsi="黑体" w:eastAsia="黑体"/>
        <w:b w:val="0"/>
        <w:i w:val="0"/>
        <w:sz w:val="24"/>
      </w:rPr>
    </w:lvl>
    <w:lvl w:ilvl="1" w:tentative="0">
      <w:start w:val="1"/>
      <w:numFmt w:val="decimal"/>
      <w:lvlText w:val="（%2）"/>
      <w:lvlJc w:val="left"/>
      <w:pPr>
        <w:ind w:left="856" w:hanging="720"/>
      </w:pPr>
      <w:rPr>
        <w:rFonts w:hint="default"/>
      </w:r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32">
    <w:nsid w:val="231B75FB"/>
    <w:multiLevelType w:val="multilevel"/>
    <w:tmpl w:val="231B75FB"/>
    <w:lvl w:ilvl="0" w:tentative="0">
      <w:start w:val="7"/>
      <w:numFmt w:val="decimal"/>
      <w:pStyle w:val="666"/>
      <w:lvlText w:val="%1"/>
      <w:lvlJc w:val="left"/>
      <w:pPr>
        <w:ind w:left="432" w:hanging="432"/>
      </w:pPr>
      <w:rPr>
        <w:rFonts w:hint="eastAsia"/>
      </w:rPr>
    </w:lvl>
    <w:lvl w:ilvl="1" w:tentative="0">
      <w:start w:val="1"/>
      <w:numFmt w:val="decimal"/>
      <w:pStyle w:val="667"/>
      <w:lvlText w:val="%1.%2"/>
      <w:lvlJc w:val="left"/>
      <w:pPr>
        <w:ind w:left="3837" w:hanging="576"/>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3">
    <w:nsid w:val="282E2E9C"/>
    <w:multiLevelType w:val="multilevel"/>
    <w:tmpl w:val="282E2E9C"/>
    <w:lvl w:ilvl="0" w:tentative="0">
      <w:start w:val="1"/>
      <w:numFmt w:val="decimal"/>
      <w:pStyle w:val="677"/>
      <w:lvlText w:val="图%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2A8F7113"/>
    <w:multiLevelType w:val="multilevel"/>
    <w:tmpl w:val="2A8F7113"/>
    <w:lvl w:ilvl="0" w:tentative="0">
      <w:start w:val="1"/>
      <w:numFmt w:val="upperLetter"/>
      <w:pStyle w:val="350"/>
      <w:suff w:val="space"/>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281"/>
      <w:suff w:val="nothing"/>
      <w:lvlText w:val="图%1.%2　"/>
      <w:lvlJc w:val="left"/>
      <w:pPr>
        <w:ind w:left="0" w:firstLine="0"/>
      </w:pPr>
      <w:rPr>
        <w:rFonts w:hint="eastAsia" w:eastAsia="黑体"/>
        <w:b w:val="0"/>
        <w:i w:val="0"/>
        <w:sz w:val="21"/>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5">
    <w:nsid w:val="2B5637FF"/>
    <w:multiLevelType w:val="multilevel"/>
    <w:tmpl w:val="2B5637FF"/>
    <w:lvl w:ilvl="0" w:tentative="0">
      <w:start w:val="1"/>
      <w:numFmt w:val="none"/>
      <w:suff w:val="nothing"/>
      <w:lvlText w:val="6  "/>
      <w:lvlJc w:val="left"/>
      <w:pPr>
        <w:ind w:left="0" w:firstLine="0"/>
      </w:pPr>
      <w:rPr>
        <w:rFonts w:hint="eastAsia" w:ascii="黑体" w:hAnsi="Times New Roman" w:eastAsia="黑体"/>
        <w:b w:val="0"/>
        <w:i w:val="0"/>
        <w:spacing w:val="0"/>
        <w:w w:val="100"/>
        <w:sz w:val="21"/>
      </w:rPr>
    </w:lvl>
    <w:lvl w:ilvl="1" w:tentative="0">
      <w:start w:val="2"/>
      <w:numFmt w:val="decimal"/>
      <w:suff w:val="nothing"/>
      <w:lvlText w:val="%16.%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6.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6">
    <w:nsid w:val="33A73C7E"/>
    <w:multiLevelType w:val="multilevel"/>
    <w:tmpl w:val="33A73C7E"/>
    <w:lvl w:ilvl="0" w:tentative="0">
      <w:start w:val="1"/>
      <w:numFmt w:val="decimal"/>
      <w:suff w:val="nothing"/>
      <w:lvlText w:val="4.4.%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suff w:val="nothing"/>
      <w:lvlText w:val="B.2.%3  "/>
      <w:lvlJc w:val="left"/>
      <w:pPr>
        <w:ind w:left="0" w:firstLine="0"/>
      </w:pPr>
      <w:rPr>
        <w:rFonts w:hint="eastAsia" w:ascii="黑体" w:hAnsi="黑体" w:eastAsia="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7">
    <w:nsid w:val="34431F99"/>
    <w:multiLevelType w:val="multilevel"/>
    <w:tmpl w:val="34431F99"/>
    <w:lvl w:ilvl="0" w:tentative="0">
      <w:start w:val="1"/>
      <w:numFmt w:val="upperLetter"/>
      <w:pStyle w:val="511"/>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2"/>
      <w:lvlText w:val="(%1.%2)"/>
      <w:lvlJc w:val="left"/>
      <w:pPr>
        <w:ind w:left="0" w:firstLine="0"/>
      </w:pPr>
      <w:rPr>
        <w:rFonts w:hAnsi="Times New Roman" w:cs="Times New Roman"/>
        <w:b w:val="0"/>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8">
    <w:nsid w:val="378F1C55"/>
    <w:multiLevelType w:val="multilevel"/>
    <w:tmpl w:val="378F1C55"/>
    <w:lvl w:ilvl="0" w:tentative="0">
      <w:start w:val="1"/>
      <w:numFmt w:val="decimal"/>
      <w:suff w:val="nothing"/>
      <w:lvlText w:val="4.4.%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suff w:val="nothing"/>
      <w:lvlText w:val="B.2.%3  "/>
      <w:lvlJc w:val="left"/>
      <w:pPr>
        <w:ind w:left="0" w:firstLine="0"/>
      </w:pPr>
      <w:rPr>
        <w:rFonts w:hint="eastAsia" w:ascii="黑体" w:hAnsi="黑体" w:eastAsia="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9">
    <w:nsid w:val="38F71640"/>
    <w:multiLevelType w:val="multilevel"/>
    <w:tmpl w:val="38F71640"/>
    <w:lvl w:ilvl="0" w:tentative="0">
      <w:start w:val="1"/>
      <w:numFmt w:val="none"/>
      <w:suff w:val="nothing"/>
      <w:lvlText w:val="6  "/>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6.%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6.1.%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0">
    <w:nsid w:val="3999648B"/>
    <w:multiLevelType w:val="multilevel"/>
    <w:tmpl w:val="3999648B"/>
    <w:lvl w:ilvl="0" w:tentative="0">
      <w:start w:val="1"/>
      <w:numFmt w:val="none"/>
      <w:suff w:val="nothing"/>
      <w:lvlText w:val="6  "/>
      <w:lvlJc w:val="left"/>
      <w:pPr>
        <w:ind w:left="0" w:firstLine="0"/>
      </w:pPr>
      <w:rPr>
        <w:rFonts w:hint="eastAsia" w:ascii="黑体" w:hAnsi="Times New Roman" w:eastAsia="黑体"/>
        <w:b w:val="0"/>
        <w:i w:val="0"/>
        <w:spacing w:val="0"/>
        <w:w w:val="100"/>
        <w:sz w:val="21"/>
      </w:rPr>
    </w:lvl>
    <w:lvl w:ilvl="1" w:tentative="0">
      <w:start w:val="3"/>
      <w:numFmt w:val="decimal"/>
      <w:suff w:val="nothing"/>
      <w:lvlText w:val="%16.%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6.3.%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1">
    <w:nsid w:val="3ADD6E82"/>
    <w:multiLevelType w:val="multilevel"/>
    <w:tmpl w:val="3ADD6E82"/>
    <w:lvl w:ilvl="0" w:tentative="0">
      <w:start w:val="1"/>
      <w:numFmt w:val="decimal"/>
      <w:suff w:val="nothing"/>
      <w:lvlText w:val="4.4.%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suff w:val="nothing"/>
      <w:lvlText w:val="C.1.%3  "/>
      <w:lvlJc w:val="left"/>
      <w:pPr>
        <w:ind w:left="0" w:firstLine="0"/>
      </w:pPr>
      <w:rPr>
        <w:rFonts w:hint="eastAsia" w:ascii="黑体" w:hAnsi="黑体" w:eastAsia="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2">
    <w:nsid w:val="41A64E98"/>
    <w:multiLevelType w:val="multilevel"/>
    <w:tmpl w:val="41A64E98"/>
    <w:lvl w:ilvl="0" w:tentative="0">
      <w:start w:val="1"/>
      <w:numFmt w:val="decimal"/>
      <w:pStyle w:val="306"/>
      <w:lvlText w:val="0.%1"/>
      <w:lvlJc w:val="left"/>
      <w:pPr>
        <w:tabs>
          <w:tab w:val="left" w:pos="360"/>
        </w:tabs>
        <w:ind w:left="0" w:firstLine="0"/>
      </w:pPr>
      <w:rPr>
        <w:rFonts w:hint="eastAsia" w:ascii="黑体" w:hAnsi="Times New Roman" w:eastAsia="黑体"/>
        <w:b w:val="0"/>
        <w:i w:val="0"/>
        <w:sz w:val="21"/>
      </w:rPr>
    </w:lvl>
    <w:lvl w:ilvl="1" w:tentative="0">
      <w:start w:val="1"/>
      <w:numFmt w:val="decimal"/>
      <w:lvlText w:val="0.%1.%2"/>
      <w:lvlJc w:val="left"/>
      <w:pPr>
        <w:tabs>
          <w:tab w:val="left" w:pos="720"/>
        </w:tabs>
        <w:ind w:left="0" w:firstLine="0"/>
      </w:pPr>
      <w:rPr>
        <w:rFonts w:hint="eastAsia" w:ascii="黑体" w:hAnsi="Times New Roman" w:eastAsia="黑体"/>
        <w:b w:val="0"/>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43">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4">
    <w:nsid w:val="45FA3853"/>
    <w:multiLevelType w:val="multilevel"/>
    <w:tmpl w:val="45FA3853"/>
    <w:lvl w:ilvl="0" w:tentative="0">
      <w:start w:val="1"/>
      <w:numFmt w:val="decimal"/>
      <w:suff w:val="nothing"/>
      <w:lvlText w:val="4.3.%1  "/>
      <w:lvlJc w:val="left"/>
      <w:pPr>
        <w:ind w:left="0" w:firstLine="0"/>
      </w:pPr>
      <w:rPr>
        <w:rFonts w:hint="eastAsia" w:ascii="黑体" w:hAnsi="黑体" w:eastAsia="黑体"/>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5">
    <w:nsid w:val="4AC10114"/>
    <w:multiLevelType w:val="multilevel"/>
    <w:tmpl w:val="4AC10114"/>
    <w:lvl w:ilvl="0" w:tentative="0">
      <w:start w:val="1"/>
      <w:numFmt w:val="none"/>
      <w:suff w:val="nothing"/>
      <w:lvlText w:val="5  "/>
      <w:lvlJc w:val="left"/>
      <w:pPr>
        <w:ind w:left="0" w:firstLine="0"/>
      </w:pPr>
      <w:rPr>
        <w:rFonts w:hint="eastAsia" w:ascii="黑体" w:hAnsi="Times New Roman" w:eastAsia="黑体"/>
        <w:b w:val="0"/>
        <w:i w:val="0"/>
        <w:spacing w:val="0"/>
        <w:w w:val="100"/>
        <w:sz w:val="21"/>
      </w:rPr>
    </w:lvl>
    <w:lvl w:ilvl="1" w:tentative="0">
      <w:start w:val="5"/>
      <w:numFmt w:val="decimal"/>
      <w:suff w:val="nothing"/>
      <w:lvlText w:val="%15.%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5.5.%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6">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47">
    <w:nsid w:val="4E8101FF"/>
    <w:multiLevelType w:val="multilevel"/>
    <w:tmpl w:val="4E8101FF"/>
    <w:lvl w:ilvl="0" w:tentative="0">
      <w:start w:val="1"/>
      <w:numFmt w:val="decimal"/>
      <w:lvlText w:val="%1"/>
      <w:lvlJc w:val="left"/>
      <w:pPr>
        <w:ind w:left="425" w:hanging="425"/>
      </w:pPr>
      <w:rPr>
        <w:rFonts w:hint="eastAsia"/>
      </w:rPr>
    </w:lvl>
    <w:lvl w:ilvl="1" w:tentative="0">
      <w:start w:val="1"/>
      <w:numFmt w:val="decimal"/>
      <w:suff w:val="nothing"/>
      <w:lvlText w:val="6.%2  "/>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8">
    <w:nsid w:val="55E02EF4"/>
    <w:multiLevelType w:val="multilevel"/>
    <w:tmpl w:val="55E02EF4"/>
    <w:lvl w:ilvl="0" w:tentative="0">
      <w:start w:val="1"/>
      <w:numFmt w:val="decimal"/>
      <w:pStyle w:val="302"/>
      <w:lvlText w:val="图%1"/>
      <w:lvlJc w:val="left"/>
      <w:pPr>
        <w:tabs>
          <w:tab w:val="left" w:pos="360"/>
        </w:tabs>
        <w:ind w:left="0" w:firstLine="0"/>
      </w:pPr>
      <w:rPr>
        <w:rFonts w:hint="eastAsia" w:ascii="黑体" w:eastAsia="黑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5749489D"/>
    <w:multiLevelType w:val="multilevel"/>
    <w:tmpl w:val="5749489D"/>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0">
    <w:nsid w:val="58C009F6"/>
    <w:multiLevelType w:val="multilevel"/>
    <w:tmpl w:val="58C009F6"/>
    <w:lvl w:ilvl="0" w:tentative="0">
      <w:start w:val="3"/>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1">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52">
    <w:nsid w:val="5BB16320"/>
    <w:multiLevelType w:val="multilevel"/>
    <w:tmpl w:val="5BB16320"/>
    <w:lvl w:ilvl="0" w:tentative="0">
      <w:start w:val="1"/>
      <w:numFmt w:val="decimal"/>
      <w:suff w:val="nothing"/>
      <w:lvlText w:val="4.4.%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suff w:val="nothing"/>
      <w:lvlText w:val="C.2.%3  "/>
      <w:lvlJc w:val="left"/>
      <w:pPr>
        <w:ind w:left="0" w:firstLine="0"/>
      </w:pPr>
      <w:rPr>
        <w:rFonts w:hint="eastAsia" w:ascii="黑体" w:hAnsi="黑体" w:eastAsia="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3">
    <w:nsid w:val="60B55DC2"/>
    <w:multiLevelType w:val="multilevel"/>
    <w:tmpl w:val="60B55DC2"/>
    <w:lvl w:ilvl="0" w:tentative="0">
      <w:start w:val="1"/>
      <w:numFmt w:val="upperLetter"/>
      <w:pStyle w:val="349"/>
      <w:lvlText w:val="%1"/>
      <w:lvlJc w:val="left"/>
      <w:pPr>
        <w:tabs>
          <w:tab w:val="left" w:pos="0"/>
        </w:tabs>
        <w:ind w:left="0" w:firstLine="0"/>
      </w:pPr>
      <w:rPr>
        <w:rFonts w:hint="eastAsia"/>
        <w:color w:val="FFFFFF" w:themeColor="background1"/>
        <w:sz w:val="2"/>
        <w14:textFill>
          <w14:solidFill>
            <w14:schemeClr w14:val="bg1"/>
          </w14:solidFill>
        </w14:textFill>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54">
    <w:nsid w:val="643C1CBB"/>
    <w:multiLevelType w:val="multilevel"/>
    <w:tmpl w:val="643C1CBB"/>
    <w:lvl w:ilvl="0" w:tentative="0">
      <w:start w:val="1"/>
      <w:numFmt w:val="none"/>
      <w:suff w:val="nothing"/>
      <w:lvlText w:val="7  "/>
      <w:lvlJc w:val="left"/>
      <w:pPr>
        <w:ind w:left="0" w:firstLine="0"/>
      </w:pPr>
      <w:rPr>
        <w:rFonts w:hint="eastAsia" w:ascii="黑体" w:hAnsi="Times New Roman" w:eastAsia="黑体"/>
        <w:b w:val="0"/>
        <w:i w:val="0"/>
        <w:spacing w:val="0"/>
        <w:w w:val="100"/>
        <w:sz w:val="21"/>
      </w:rPr>
    </w:lvl>
    <w:lvl w:ilvl="1" w:tentative="0">
      <w:start w:val="2"/>
      <w:numFmt w:val="decimal"/>
      <w:suff w:val="nothing"/>
      <w:lvlText w:val="%17.%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7.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5">
    <w:nsid w:val="68F2627C"/>
    <w:multiLevelType w:val="multilevel"/>
    <w:tmpl w:val="68F2627C"/>
    <w:lvl w:ilvl="0" w:tentative="0">
      <w:start w:val="1"/>
      <w:numFmt w:val="decimal"/>
      <w:suff w:val="nothing"/>
      <w:lvlText w:val="4.2.%1  "/>
      <w:lvlJc w:val="left"/>
      <w:pPr>
        <w:ind w:left="0" w:firstLine="0"/>
      </w:pPr>
      <w:rPr>
        <w:rFonts w:hint="eastAsia" w:ascii="黑体" w:hAnsi="黑体" w:eastAsia="黑体"/>
      </w:rPr>
    </w:lvl>
    <w:lvl w:ilvl="1" w:tentative="0">
      <w:start w:val="1"/>
      <w:numFmt w:val="lowerLetter"/>
      <w:lvlText w:val="%2)"/>
      <w:lvlJc w:val="left"/>
      <w:pPr>
        <w:ind w:left="840" w:hanging="420"/>
      </w:pPr>
      <w:rPr>
        <w:rFonts w:hint="eastAsia"/>
      </w:rPr>
    </w:lvl>
    <w:lvl w:ilvl="2" w:tentative="0">
      <w:start w:val="1"/>
      <w:numFmt w:val="decimal"/>
      <w:suff w:val="nothing"/>
      <w:lvlText w:val="3.0.%3"/>
      <w:lvlJc w:val="left"/>
      <w:pPr>
        <w:ind w:left="0" w:firstLine="0"/>
      </w:pPr>
      <w:rPr>
        <w:rFonts w:hint="eastAsia" w:ascii="黑体" w:hAnsi="黑体" w:eastAsia="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6">
    <w:nsid w:val="6A5F0F1E"/>
    <w:multiLevelType w:val="multilevel"/>
    <w:tmpl w:val="6A5F0F1E"/>
    <w:lvl w:ilvl="0" w:tentative="0">
      <w:start w:val="1"/>
      <w:numFmt w:val="decimal"/>
      <w:lvlText w:val="%1"/>
      <w:lvlJc w:val="left"/>
      <w:pPr>
        <w:ind w:left="425" w:hanging="425"/>
      </w:pPr>
      <w:rPr>
        <w:rFonts w:hint="eastAsia"/>
      </w:rPr>
    </w:lvl>
    <w:lvl w:ilvl="1" w:tentative="0">
      <w:start w:val="1"/>
      <w:numFmt w:val="decimal"/>
      <w:suff w:val="nothing"/>
      <w:lvlText w:val="7.%2  "/>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7">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8">
    <w:nsid w:val="743B4D0C"/>
    <w:multiLevelType w:val="multilevel"/>
    <w:tmpl w:val="743B4D0C"/>
    <w:lvl w:ilvl="0" w:tentative="0">
      <w:start w:val="1"/>
      <w:numFmt w:val="none"/>
      <w:suff w:val="nothing"/>
      <w:lvlText w:val="5  "/>
      <w:lvlJc w:val="left"/>
      <w:pPr>
        <w:ind w:left="0" w:firstLine="0"/>
      </w:pPr>
      <w:rPr>
        <w:rFonts w:hint="eastAsia" w:ascii="黑体" w:hAnsi="Times New Roman" w:eastAsia="黑体"/>
        <w:b w:val="0"/>
        <w:i w:val="0"/>
        <w:spacing w:val="0"/>
        <w:w w:val="100"/>
        <w:sz w:val="21"/>
      </w:rPr>
    </w:lvl>
    <w:lvl w:ilvl="1" w:tentative="0">
      <w:start w:val="2"/>
      <w:numFmt w:val="decimal"/>
      <w:suff w:val="nothing"/>
      <w:lvlText w:val="%15.%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5.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ligatures w14:val="none"/>
        <w14:numForm w14:val="default"/>
        <w14:numSpacing w14:val="default"/>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9">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60">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11"/>
  </w:num>
  <w:num w:numId="3">
    <w:abstractNumId w:val="14"/>
  </w:num>
  <w:num w:numId="4">
    <w:abstractNumId w:val="15"/>
  </w:num>
  <w:num w:numId="5">
    <w:abstractNumId w:val="12"/>
  </w:num>
  <w:num w:numId="6">
    <w:abstractNumId w:val="8"/>
  </w:num>
  <w:num w:numId="7">
    <w:abstractNumId w:val="13"/>
  </w:num>
  <w:num w:numId="8">
    <w:abstractNumId w:val="10"/>
  </w:num>
  <w:num w:numId="9">
    <w:abstractNumId w:val="7"/>
  </w:num>
  <w:num w:numId="10">
    <w:abstractNumId w:val="6"/>
  </w:num>
  <w:num w:numId="11">
    <w:abstractNumId w:val="30"/>
  </w:num>
  <w:num w:numId="12">
    <w:abstractNumId w:val="53"/>
  </w:num>
  <w:num w:numId="13">
    <w:abstractNumId w:val="16"/>
  </w:num>
  <w:num w:numId="14">
    <w:abstractNumId w:val="34"/>
  </w:num>
  <w:num w:numId="15">
    <w:abstractNumId w:val="60"/>
  </w:num>
  <w:num w:numId="16">
    <w:abstractNumId w:val="20"/>
  </w:num>
  <w:num w:numId="17">
    <w:abstractNumId w:val="43"/>
  </w:num>
  <w:num w:numId="18">
    <w:abstractNumId w:val="51"/>
  </w:num>
  <w:num w:numId="19">
    <w:abstractNumId w:val="48"/>
  </w:num>
  <w:num w:numId="20">
    <w:abstractNumId w:val="57"/>
  </w:num>
  <w:num w:numId="21">
    <w:abstractNumId w:val="19"/>
  </w:num>
  <w:num w:numId="22">
    <w:abstractNumId w:val="42"/>
  </w:num>
  <w:num w:numId="23">
    <w:abstractNumId w:val="46"/>
  </w:num>
  <w:num w:numId="24">
    <w:abstractNumId w:val="59"/>
  </w:num>
  <w:num w:numId="25">
    <w:abstractNumId w:val="23"/>
  </w:num>
  <w:num w:numId="26">
    <w:abstractNumId w:val="37"/>
  </w:num>
  <w:num w:numId="27">
    <w:abstractNumId w:val="31"/>
  </w:num>
  <w:num w:numId="28">
    <w:abstractNumId w:val="25"/>
  </w:num>
  <w:num w:numId="29">
    <w:abstractNumId w:val="32"/>
  </w:num>
  <w:num w:numId="30">
    <w:abstractNumId w:val="21"/>
  </w:num>
  <w:num w:numId="31">
    <w:abstractNumId w:val="33"/>
  </w:num>
  <w:num w:numId="32">
    <w:abstractNumId w:val="26"/>
  </w:num>
  <w:num w:numId="33">
    <w:abstractNumId w:val="28"/>
  </w:num>
  <w:num w:numId="34">
    <w:abstractNumId w:val="27"/>
  </w:num>
  <w:num w:numId="35">
    <w:abstractNumId w:val="55"/>
  </w:num>
  <w:num w:numId="36">
    <w:abstractNumId w:val="44"/>
  </w:num>
  <w:num w:numId="37">
    <w:abstractNumId w:val="18"/>
  </w:num>
  <w:num w:numId="38">
    <w:abstractNumId w:val="5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29"/>
  </w:num>
  <w:num w:numId="41">
    <w:abstractNumId w:val="45"/>
  </w:num>
  <w:num w:numId="42">
    <w:abstractNumId w:val="47"/>
  </w:num>
  <w:num w:numId="43">
    <w:abstractNumId w:val="39"/>
  </w:num>
  <w:num w:numId="44">
    <w:abstractNumId w:val="35"/>
  </w:num>
  <w:num w:numId="45">
    <w:abstractNumId w:val="40"/>
  </w:num>
  <w:num w:numId="46">
    <w:abstractNumId w:val="56"/>
  </w:num>
  <w:num w:numId="47">
    <w:abstractNumId w:val="24"/>
  </w:num>
  <w:num w:numId="48">
    <w:abstractNumId w:val="54"/>
  </w:num>
  <w:num w:numId="49">
    <w:abstractNumId w:val="49"/>
  </w:num>
  <w:num w:numId="50">
    <w:abstractNumId w:val="5"/>
  </w:num>
  <w:num w:numId="51">
    <w:abstractNumId w:val="2"/>
  </w:num>
  <w:num w:numId="52">
    <w:abstractNumId w:val="3"/>
  </w:num>
  <w:num w:numId="53">
    <w:abstractNumId w:val="1"/>
  </w:num>
  <w:num w:numId="54">
    <w:abstractNumId w:val="0"/>
  </w:num>
  <w:num w:numId="55">
    <w:abstractNumId w:val="4"/>
  </w:num>
  <w:num w:numId="56">
    <w:abstractNumId w:val="36"/>
  </w:num>
  <w:num w:numId="57">
    <w:abstractNumId w:val="38"/>
  </w:num>
  <w:num w:numId="58">
    <w:abstractNumId w:val="22"/>
  </w:num>
  <w:num w:numId="59">
    <w:abstractNumId w:val="50"/>
  </w:num>
  <w:num w:numId="60">
    <w:abstractNumId w:val="41"/>
  </w:num>
  <w:num w:numId="6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21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D5"/>
    <w:rsid w:val="00000D8F"/>
    <w:rsid w:val="00006548"/>
    <w:rsid w:val="000141EE"/>
    <w:rsid w:val="00025AF8"/>
    <w:rsid w:val="00027BD3"/>
    <w:rsid w:val="00031EEE"/>
    <w:rsid w:val="00036B39"/>
    <w:rsid w:val="000372EA"/>
    <w:rsid w:val="00040BBF"/>
    <w:rsid w:val="00043421"/>
    <w:rsid w:val="00050E91"/>
    <w:rsid w:val="00053FB5"/>
    <w:rsid w:val="00075DD9"/>
    <w:rsid w:val="00076F59"/>
    <w:rsid w:val="00077131"/>
    <w:rsid w:val="00077989"/>
    <w:rsid w:val="00085272"/>
    <w:rsid w:val="0009171F"/>
    <w:rsid w:val="0009271F"/>
    <w:rsid w:val="0009648F"/>
    <w:rsid w:val="000A568D"/>
    <w:rsid w:val="000A6E5F"/>
    <w:rsid w:val="000B55D7"/>
    <w:rsid w:val="000B6461"/>
    <w:rsid w:val="000B6ECB"/>
    <w:rsid w:val="000C21DC"/>
    <w:rsid w:val="000C2EFF"/>
    <w:rsid w:val="000D2D03"/>
    <w:rsid w:val="000E2B29"/>
    <w:rsid w:val="000E7B1D"/>
    <w:rsid w:val="000F1341"/>
    <w:rsid w:val="000F14A7"/>
    <w:rsid w:val="00105673"/>
    <w:rsid w:val="00123BF9"/>
    <w:rsid w:val="001250FB"/>
    <w:rsid w:val="00127602"/>
    <w:rsid w:val="001322B9"/>
    <w:rsid w:val="00144633"/>
    <w:rsid w:val="001517CF"/>
    <w:rsid w:val="00164C6D"/>
    <w:rsid w:val="00170B1F"/>
    <w:rsid w:val="00172236"/>
    <w:rsid w:val="001748CC"/>
    <w:rsid w:val="0017737E"/>
    <w:rsid w:val="001830DE"/>
    <w:rsid w:val="001A5BF9"/>
    <w:rsid w:val="001C2054"/>
    <w:rsid w:val="001D5AA4"/>
    <w:rsid w:val="001D71BA"/>
    <w:rsid w:val="001D728C"/>
    <w:rsid w:val="001F0E09"/>
    <w:rsid w:val="001F2E65"/>
    <w:rsid w:val="001F724D"/>
    <w:rsid w:val="00212F4F"/>
    <w:rsid w:val="00216264"/>
    <w:rsid w:val="00227E52"/>
    <w:rsid w:val="002310FD"/>
    <w:rsid w:val="00235CB0"/>
    <w:rsid w:val="00242BC3"/>
    <w:rsid w:val="00247E6D"/>
    <w:rsid w:val="00267674"/>
    <w:rsid w:val="00277D91"/>
    <w:rsid w:val="00282FBE"/>
    <w:rsid w:val="00287FD8"/>
    <w:rsid w:val="002917C0"/>
    <w:rsid w:val="0029237C"/>
    <w:rsid w:val="002A0355"/>
    <w:rsid w:val="002A1368"/>
    <w:rsid w:val="002A3BE2"/>
    <w:rsid w:val="002A4DD0"/>
    <w:rsid w:val="002A6B18"/>
    <w:rsid w:val="002B16CF"/>
    <w:rsid w:val="002B205E"/>
    <w:rsid w:val="002B31F8"/>
    <w:rsid w:val="002B778D"/>
    <w:rsid w:val="002C6C4A"/>
    <w:rsid w:val="002E08C1"/>
    <w:rsid w:val="002E5F3F"/>
    <w:rsid w:val="002F1862"/>
    <w:rsid w:val="00303CA5"/>
    <w:rsid w:val="00307512"/>
    <w:rsid w:val="00316CBA"/>
    <w:rsid w:val="00324802"/>
    <w:rsid w:val="003354CE"/>
    <w:rsid w:val="00337CA1"/>
    <w:rsid w:val="00354EBB"/>
    <w:rsid w:val="00366B99"/>
    <w:rsid w:val="0037089B"/>
    <w:rsid w:val="00391868"/>
    <w:rsid w:val="00394ED0"/>
    <w:rsid w:val="00397925"/>
    <w:rsid w:val="003A2F46"/>
    <w:rsid w:val="003A4F7B"/>
    <w:rsid w:val="003A54A8"/>
    <w:rsid w:val="003B4D4E"/>
    <w:rsid w:val="003B65E2"/>
    <w:rsid w:val="003C44DC"/>
    <w:rsid w:val="003C4CFB"/>
    <w:rsid w:val="003C5C82"/>
    <w:rsid w:val="003D21B2"/>
    <w:rsid w:val="003D636C"/>
    <w:rsid w:val="003E7CE2"/>
    <w:rsid w:val="003F2DA8"/>
    <w:rsid w:val="003F47F8"/>
    <w:rsid w:val="003F603C"/>
    <w:rsid w:val="003F764E"/>
    <w:rsid w:val="00405B77"/>
    <w:rsid w:val="00406CC1"/>
    <w:rsid w:val="0041207A"/>
    <w:rsid w:val="00417BA0"/>
    <w:rsid w:val="00434F5A"/>
    <w:rsid w:val="00436ECC"/>
    <w:rsid w:val="004414E6"/>
    <w:rsid w:val="00447DDB"/>
    <w:rsid w:val="004503C9"/>
    <w:rsid w:val="0045156C"/>
    <w:rsid w:val="004548A9"/>
    <w:rsid w:val="0046062F"/>
    <w:rsid w:val="004619AC"/>
    <w:rsid w:val="00463A10"/>
    <w:rsid w:val="00465B7B"/>
    <w:rsid w:val="00466FF2"/>
    <w:rsid w:val="00467339"/>
    <w:rsid w:val="0047118D"/>
    <w:rsid w:val="004826C9"/>
    <w:rsid w:val="00484A9E"/>
    <w:rsid w:val="0048668C"/>
    <w:rsid w:val="00490088"/>
    <w:rsid w:val="004908D6"/>
    <w:rsid w:val="004A3243"/>
    <w:rsid w:val="004B2B98"/>
    <w:rsid w:val="004B2F46"/>
    <w:rsid w:val="004C605A"/>
    <w:rsid w:val="004D0182"/>
    <w:rsid w:val="004D155E"/>
    <w:rsid w:val="004F0BF9"/>
    <w:rsid w:val="004F54D5"/>
    <w:rsid w:val="00500D26"/>
    <w:rsid w:val="0050545B"/>
    <w:rsid w:val="005134E3"/>
    <w:rsid w:val="00515AC9"/>
    <w:rsid w:val="005175BF"/>
    <w:rsid w:val="00517D40"/>
    <w:rsid w:val="00520DEA"/>
    <w:rsid w:val="00521E61"/>
    <w:rsid w:val="005272AE"/>
    <w:rsid w:val="005322CC"/>
    <w:rsid w:val="00532D32"/>
    <w:rsid w:val="0053303D"/>
    <w:rsid w:val="00534928"/>
    <w:rsid w:val="00562526"/>
    <w:rsid w:val="00573966"/>
    <w:rsid w:val="00573CAA"/>
    <w:rsid w:val="00591AE3"/>
    <w:rsid w:val="00596BBE"/>
    <w:rsid w:val="005A35D5"/>
    <w:rsid w:val="005A406C"/>
    <w:rsid w:val="005D203A"/>
    <w:rsid w:val="005D5966"/>
    <w:rsid w:val="005D5B64"/>
    <w:rsid w:val="005E681D"/>
    <w:rsid w:val="005E7D76"/>
    <w:rsid w:val="00601445"/>
    <w:rsid w:val="00611BD0"/>
    <w:rsid w:val="0061695B"/>
    <w:rsid w:val="00630366"/>
    <w:rsid w:val="00630EC5"/>
    <w:rsid w:val="0065094C"/>
    <w:rsid w:val="00674639"/>
    <w:rsid w:val="00677551"/>
    <w:rsid w:val="00677E34"/>
    <w:rsid w:val="00681844"/>
    <w:rsid w:val="006830A1"/>
    <w:rsid w:val="006A01D7"/>
    <w:rsid w:val="006B05BB"/>
    <w:rsid w:val="006B643E"/>
    <w:rsid w:val="006D12A2"/>
    <w:rsid w:val="006D6D2B"/>
    <w:rsid w:val="006E376A"/>
    <w:rsid w:val="006E740A"/>
    <w:rsid w:val="006E7E4F"/>
    <w:rsid w:val="006F1FF9"/>
    <w:rsid w:val="006F275C"/>
    <w:rsid w:val="00702881"/>
    <w:rsid w:val="007064A5"/>
    <w:rsid w:val="00713672"/>
    <w:rsid w:val="007141B1"/>
    <w:rsid w:val="00715BD0"/>
    <w:rsid w:val="0072151A"/>
    <w:rsid w:val="00727842"/>
    <w:rsid w:val="00737805"/>
    <w:rsid w:val="00740D86"/>
    <w:rsid w:val="00743CC7"/>
    <w:rsid w:val="0074732A"/>
    <w:rsid w:val="00747A14"/>
    <w:rsid w:val="00767B2F"/>
    <w:rsid w:val="00773A5E"/>
    <w:rsid w:val="00776408"/>
    <w:rsid w:val="0078233D"/>
    <w:rsid w:val="00786CBC"/>
    <w:rsid w:val="00792DBE"/>
    <w:rsid w:val="00795E45"/>
    <w:rsid w:val="00796540"/>
    <w:rsid w:val="007D2FAA"/>
    <w:rsid w:val="007D57EF"/>
    <w:rsid w:val="007E0206"/>
    <w:rsid w:val="007E3F4F"/>
    <w:rsid w:val="007F69B9"/>
    <w:rsid w:val="00811C33"/>
    <w:rsid w:val="00846D16"/>
    <w:rsid w:val="00852FD6"/>
    <w:rsid w:val="00854E15"/>
    <w:rsid w:val="00862997"/>
    <w:rsid w:val="0086798F"/>
    <w:rsid w:val="008708FD"/>
    <w:rsid w:val="00881138"/>
    <w:rsid w:val="00891609"/>
    <w:rsid w:val="008950F1"/>
    <w:rsid w:val="008C0296"/>
    <w:rsid w:val="008C5347"/>
    <w:rsid w:val="008D2560"/>
    <w:rsid w:val="008D383F"/>
    <w:rsid w:val="008E1AE0"/>
    <w:rsid w:val="008E351F"/>
    <w:rsid w:val="008F1014"/>
    <w:rsid w:val="008F1C2D"/>
    <w:rsid w:val="00901DA3"/>
    <w:rsid w:val="00905330"/>
    <w:rsid w:val="0091784D"/>
    <w:rsid w:val="00917E12"/>
    <w:rsid w:val="0092483B"/>
    <w:rsid w:val="0092682F"/>
    <w:rsid w:val="009535DF"/>
    <w:rsid w:val="0095366D"/>
    <w:rsid w:val="0095659D"/>
    <w:rsid w:val="0096369B"/>
    <w:rsid w:val="009676B1"/>
    <w:rsid w:val="009721AF"/>
    <w:rsid w:val="00982BDE"/>
    <w:rsid w:val="00993169"/>
    <w:rsid w:val="00995610"/>
    <w:rsid w:val="00996F81"/>
    <w:rsid w:val="009A2C2B"/>
    <w:rsid w:val="009C0704"/>
    <w:rsid w:val="009C1DDE"/>
    <w:rsid w:val="009C61E9"/>
    <w:rsid w:val="009C682F"/>
    <w:rsid w:val="009D19E4"/>
    <w:rsid w:val="009E0625"/>
    <w:rsid w:val="009E723F"/>
    <w:rsid w:val="009F7CDF"/>
    <w:rsid w:val="00A329C9"/>
    <w:rsid w:val="00A342E2"/>
    <w:rsid w:val="00A35C5B"/>
    <w:rsid w:val="00A40CF5"/>
    <w:rsid w:val="00A470A7"/>
    <w:rsid w:val="00A473CC"/>
    <w:rsid w:val="00A72A01"/>
    <w:rsid w:val="00A832D8"/>
    <w:rsid w:val="00A87239"/>
    <w:rsid w:val="00A94542"/>
    <w:rsid w:val="00AA4903"/>
    <w:rsid w:val="00AA4BDA"/>
    <w:rsid w:val="00AB12B4"/>
    <w:rsid w:val="00AC06BB"/>
    <w:rsid w:val="00AC3ACC"/>
    <w:rsid w:val="00AD1D87"/>
    <w:rsid w:val="00AD411C"/>
    <w:rsid w:val="00AD7ECC"/>
    <w:rsid w:val="00AE108D"/>
    <w:rsid w:val="00AE3FF9"/>
    <w:rsid w:val="00AE547B"/>
    <w:rsid w:val="00AF2B0D"/>
    <w:rsid w:val="00AF2DD6"/>
    <w:rsid w:val="00AF69D2"/>
    <w:rsid w:val="00B01D8B"/>
    <w:rsid w:val="00B0338D"/>
    <w:rsid w:val="00B0682B"/>
    <w:rsid w:val="00B06B22"/>
    <w:rsid w:val="00B06F9F"/>
    <w:rsid w:val="00B13E76"/>
    <w:rsid w:val="00B226E1"/>
    <w:rsid w:val="00B23075"/>
    <w:rsid w:val="00B37C0E"/>
    <w:rsid w:val="00B454CA"/>
    <w:rsid w:val="00B55871"/>
    <w:rsid w:val="00B565EB"/>
    <w:rsid w:val="00B614B1"/>
    <w:rsid w:val="00B67872"/>
    <w:rsid w:val="00B72D3B"/>
    <w:rsid w:val="00B74D02"/>
    <w:rsid w:val="00B807AF"/>
    <w:rsid w:val="00B90349"/>
    <w:rsid w:val="00BC076B"/>
    <w:rsid w:val="00BC6C4C"/>
    <w:rsid w:val="00BE027D"/>
    <w:rsid w:val="00BF1A5B"/>
    <w:rsid w:val="00BF3D80"/>
    <w:rsid w:val="00BF3DB8"/>
    <w:rsid w:val="00BF533F"/>
    <w:rsid w:val="00C12F1C"/>
    <w:rsid w:val="00C21EE1"/>
    <w:rsid w:val="00C22264"/>
    <w:rsid w:val="00C231D9"/>
    <w:rsid w:val="00C26FF1"/>
    <w:rsid w:val="00C7294C"/>
    <w:rsid w:val="00C759B3"/>
    <w:rsid w:val="00C7721B"/>
    <w:rsid w:val="00C80B64"/>
    <w:rsid w:val="00C825D9"/>
    <w:rsid w:val="00C83E4F"/>
    <w:rsid w:val="00CA1496"/>
    <w:rsid w:val="00CA612B"/>
    <w:rsid w:val="00CA6A4E"/>
    <w:rsid w:val="00CB5BB7"/>
    <w:rsid w:val="00CC0179"/>
    <w:rsid w:val="00CC19EC"/>
    <w:rsid w:val="00CE0378"/>
    <w:rsid w:val="00CE094C"/>
    <w:rsid w:val="00CF740D"/>
    <w:rsid w:val="00D10F52"/>
    <w:rsid w:val="00D20260"/>
    <w:rsid w:val="00D25AD6"/>
    <w:rsid w:val="00D32102"/>
    <w:rsid w:val="00D35642"/>
    <w:rsid w:val="00D421EF"/>
    <w:rsid w:val="00D6479A"/>
    <w:rsid w:val="00D679FB"/>
    <w:rsid w:val="00D77681"/>
    <w:rsid w:val="00D85BCC"/>
    <w:rsid w:val="00DC20DF"/>
    <w:rsid w:val="00DC300E"/>
    <w:rsid w:val="00DC5920"/>
    <w:rsid w:val="00DE6C5C"/>
    <w:rsid w:val="00DE79D1"/>
    <w:rsid w:val="00DF3719"/>
    <w:rsid w:val="00DF42C4"/>
    <w:rsid w:val="00E05C6A"/>
    <w:rsid w:val="00E05E73"/>
    <w:rsid w:val="00E12E32"/>
    <w:rsid w:val="00E17B06"/>
    <w:rsid w:val="00E21E33"/>
    <w:rsid w:val="00E245C7"/>
    <w:rsid w:val="00E307EE"/>
    <w:rsid w:val="00E30917"/>
    <w:rsid w:val="00E33A22"/>
    <w:rsid w:val="00E376DF"/>
    <w:rsid w:val="00E44855"/>
    <w:rsid w:val="00E50B42"/>
    <w:rsid w:val="00E558DE"/>
    <w:rsid w:val="00E56059"/>
    <w:rsid w:val="00E638E4"/>
    <w:rsid w:val="00E73319"/>
    <w:rsid w:val="00E83142"/>
    <w:rsid w:val="00E87466"/>
    <w:rsid w:val="00E87A23"/>
    <w:rsid w:val="00E91BFD"/>
    <w:rsid w:val="00E96E93"/>
    <w:rsid w:val="00EA1D49"/>
    <w:rsid w:val="00EB0B37"/>
    <w:rsid w:val="00EB771E"/>
    <w:rsid w:val="00EC7797"/>
    <w:rsid w:val="00ED1474"/>
    <w:rsid w:val="00ED7098"/>
    <w:rsid w:val="00EE117D"/>
    <w:rsid w:val="00EE4858"/>
    <w:rsid w:val="00EE4A1A"/>
    <w:rsid w:val="00EF4994"/>
    <w:rsid w:val="00F014B1"/>
    <w:rsid w:val="00F124C5"/>
    <w:rsid w:val="00F16E12"/>
    <w:rsid w:val="00F172FB"/>
    <w:rsid w:val="00F17B6A"/>
    <w:rsid w:val="00F252F0"/>
    <w:rsid w:val="00F25CA4"/>
    <w:rsid w:val="00F26F25"/>
    <w:rsid w:val="00F3538D"/>
    <w:rsid w:val="00F3590F"/>
    <w:rsid w:val="00F62D9A"/>
    <w:rsid w:val="00F66499"/>
    <w:rsid w:val="00F72343"/>
    <w:rsid w:val="00F73EF2"/>
    <w:rsid w:val="00F8041E"/>
    <w:rsid w:val="00F837C3"/>
    <w:rsid w:val="00F863B5"/>
    <w:rsid w:val="00FA0781"/>
    <w:rsid w:val="00FA4B56"/>
    <w:rsid w:val="00FA7262"/>
    <w:rsid w:val="00FB26E1"/>
    <w:rsid w:val="00FC7126"/>
    <w:rsid w:val="00FD74B3"/>
    <w:rsid w:val="00FE15CE"/>
    <w:rsid w:val="00FF0B3A"/>
    <w:rsid w:val="012133E5"/>
    <w:rsid w:val="01227D26"/>
    <w:rsid w:val="01675739"/>
    <w:rsid w:val="01AF1E59"/>
    <w:rsid w:val="01DB7CCC"/>
    <w:rsid w:val="0213602D"/>
    <w:rsid w:val="02BC3862"/>
    <w:rsid w:val="02D54924"/>
    <w:rsid w:val="02E21715"/>
    <w:rsid w:val="02EB4148"/>
    <w:rsid w:val="033F6241"/>
    <w:rsid w:val="035F40DD"/>
    <w:rsid w:val="037759DB"/>
    <w:rsid w:val="03870314"/>
    <w:rsid w:val="03DD5EFF"/>
    <w:rsid w:val="04293EB0"/>
    <w:rsid w:val="04D37589"/>
    <w:rsid w:val="053B6C26"/>
    <w:rsid w:val="056A2D86"/>
    <w:rsid w:val="05F94DCD"/>
    <w:rsid w:val="064E7C69"/>
    <w:rsid w:val="06913258"/>
    <w:rsid w:val="06D7151D"/>
    <w:rsid w:val="06F05449"/>
    <w:rsid w:val="07320597"/>
    <w:rsid w:val="074B3407"/>
    <w:rsid w:val="0771773D"/>
    <w:rsid w:val="077B4320"/>
    <w:rsid w:val="07EA0E72"/>
    <w:rsid w:val="07F92E63"/>
    <w:rsid w:val="08C61478"/>
    <w:rsid w:val="092263E9"/>
    <w:rsid w:val="09261FF7"/>
    <w:rsid w:val="09297778"/>
    <w:rsid w:val="097338C4"/>
    <w:rsid w:val="09880942"/>
    <w:rsid w:val="09B13866"/>
    <w:rsid w:val="0A2564A7"/>
    <w:rsid w:val="0A9C65DA"/>
    <w:rsid w:val="0AFA5870"/>
    <w:rsid w:val="0B5D195B"/>
    <w:rsid w:val="0BE45BD8"/>
    <w:rsid w:val="0C201306"/>
    <w:rsid w:val="0C4D19CF"/>
    <w:rsid w:val="0C7B29E0"/>
    <w:rsid w:val="0C9D51A9"/>
    <w:rsid w:val="0D371FD6"/>
    <w:rsid w:val="0E27530D"/>
    <w:rsid w:val="0E3E5A73"/>
    <w:rsid w:val="0E574D87"/>
    <w:rsid w:val="0EE21C54"/>
    <w:rsid w:val="0F241275"/>
    <w:rsid w:val="0F421593"/>
    <w:rsid w:val="0FC621C4"/>
    <w:rsid w:val="0FDC3796"/>
    <w:rsid w:val="10233173"/>
    <w:rsid w:val="104D6442"/>
    <w:rsid w:val="107B7182"/>
    <w:rsid w:val="108654B0"/>
    <w:rsid w:val="10A800F7"/>
    <w:rsid w:val="115E22D4"/>
    <w:rsid w:val="11F8418B"/>
    <w:rsid w:val="123478B9"/>
    <w:rsid w:val="139A7BF0"/>
    <w:rsid w:val="13C15D78"/>
    <w:rsid w:val="140B464A"/>
    <w:rsid w:val="14515DD5"/>
    <w:rsid w:val="14BE009A"/>
    <w:rsid w:val="14FE7D0A"/>
    <w:rsid w:val="15051099"/>
    <w:rsid w:val="155142DE"/>
    <w:rsid w:val="155B515D"/>
    <w:rsid w:val="157E0E4B"/>
    <w:rsid w:val="15D849FF"/>
    <w:rsid w:val="16DF0D20"/>
    <w:rsid w:val="17824C23"/>
    <w:rsid w:val="179606CE"/>
    <w:rsid w:val="179D030F"/>
    <w:rsid w:val="17A76437"/>
    <w:rsid w:val="17C52D61"/>
    <w:rsid w:val="17D15BAA"/>
    <w:rsid w:val="17F6116D"/>
    <w:rsid w:val="185E1941"/>
    <w:rsid w:val="195B397D"/>
    <w:rsid w:val="19C11392"/>
    <w:rsid w:val="1A744C20"/>
    <w:rsid w:val="1B106DCC"/>
    <w:rsid w:val="1B854CE1"/>
    <w:rsid w:val="1BF306EA"/>
    <w:rsid w:val="1C202C5C"/>
    <w:rsid w:val="1CAE64BA"/>
    <w:rsid w:val="1F071EB1"/>
    <w:rsid w:val="1F5F5376"/>
    <w:rsid w:val="1F6317DE"/>
    <w:rsid w:val="1FA626FF"/>
    <w:rsid w:val="202645B9"/>
    <w:rsid w:val="20717F2A"/>
    <w:rsid w:val="20A976C4"/>
    <w:rsid w:val="21260D15"/>
    <w:rsid w:val="21417A0D"/>
    <w:rsid w:val="216361B0"/>
    <w:rsid w:val="217575A6"/>
    <w:rsid w:val="2237659E"/>
    <w:rsid w:val="228A52D3"/>
    <w:rsid w:val="23B26890"/>
    <w:rsid w:val="24311EAA"/>
    <w:rsid w:val="24480FA2"/>
    <w:rsid w:val="24B05D49"/>
    <w:rsid w:val="24D6035C"/>
    <w:rsid w:val="253C0A50"/>
    <w:rsid w:val="25483305"/>
    <w:rsid w:val="256C0CC0"/>
    <w:rsid w:val="25710085"/>
    <w:rsid w:val="26852269"/>
    <w:rsid w:val="26B3034E"/>
    <w:rsid w:val="27985D9D"/>
    <w:rsid w:val="27B04969"/>
    <w:rsid w:val="286E03F0"/>
    <w:rsid w:val="287E0082"/>
    <w:rsid w:val="289742A6"/>
    <w:rsid w:val="28EC2844"/>
    <w:rsid w:val="28F65471"/>
    <w:rsid w:val="29247041"/>
    <w:rsid w:val="292A336C"/>
    <w:rsid w:val="295472E1"/>
    <w:rsid w:val="2A1C003C"/>
    <w:rsid w:val="2A8A2314"/>
    <w:rsid w:val="2AFE098F"/>
    <w:rsid w:val="2B163BA8"/>
    <w:rsid w:val="2B3202B6"/>
    <w:rsid w:val="2B361B54"/>
    <w:rsid w:val="2BC1560F"/>
    <w:rsid w:val="2BE47802"/>
    <w:rsid w:val="2C0A417D"/>
    <w:rsid w:val="2C3E306D"/>
    <w:rsid w:val="2C6B3A80"/>
    <w:rsid w:val="2C772424"/>
    <w:rsid w:val="2CA434F1"/>
    <w:rsid w:val="2D200D0E"/>
    <w:rsid w:val="2E5C5D76"/>
    <w:rsid w:val="2EC35DF5"/>
    <w:rsid w:val="2ECD0A22"/>
    <w:rsid w:val="2ED00512"/>
    <w:rsid w:val="2EF61C92"/>
    <w:rsid w:val="2EFC1307"/>
    <w:rsid w:val="2F0106CB"/>
    <w:rsid w:val="2F0D7070"/>
    <w:rsid w:val="2F283EAA"/>
    <w:rsid w:val="2FE87B2B"/>
    <w:rsid w:val="304545E8"/>
    <w:rsid w:val="30A85983"/>
    <w:rsid w:val="31BC4D7D"/>
    <w:rsid w:val="32121EF6"/>
    <w:rsid w:val="329B4993"/>
    <w:rsid w:val="32D14858"/>
    <w:rsid w:val="334A0F9A"/>
    <w:rsid w:val="33585C2A"/>
    <w:rsid w:val="336323AB"/>
    <w:rsid w:val="33D42114"/>
    <w:rsid w:val="33DF6B01"/>
    <w:rsid w:val="349B6ECC"/>
    <w:rsid w:val="35E47290"/>
    <w:rsid w:val="36AA1648"/>
    <w:rsid w:val="37427AD3"/>
    <w:rsid w:val="386E09E5"/>
    <w:rsid w:val="38740160"/>
    <w:rsid w:val="39420C96"/>
    <w:rsid w:val="39BE5B37"/>
    <w:rsid w:val="39CB3DB0"/>
    <w:rsid w:val="3A23599A"/>
    <w:rsid w:val="3AAD352C"/>
    <w:rsid w:val="3AD63FDA"/>
    <w:rsid w:val="3B554279"/>
    <w:rsid w:val="3B824942"/>
    <w:rsid w:val="3B8701AA"/>
    <w:rsid w:val="3BF84C04"/>
    <w:rsid w:val="3C08753D"/>
    <w:rsid w:val="3C9E39FD"/>
    <w:rsid w:val="3D314871"/>
    <w:rsid w:val="3E6622F9"/>
    <w:rsid w:val="3E69052A"/>
    <w:rsid w:val="3FD5DA07"/>
    <w:rsid w:val="40381A73"/>
    <w:rsid w:val="40E63BC5"/>
    <w:rsid w:val="40F97454"/>
    <w:rsid w:val="411B386E"/>
    <w:rsid w:val="418331C2"/>
    <w:rsid w:val="41FB544E"/>
    <w:rsid w:val="42246753"/>
    <w:rsid w:val="42C634BE"/>
    <w:rsid w:val="42D9753D"/>
    <w:rsid w:val="438F22F2"/>
    <w:rsid w:val="43FF30A9"/>
    <w:rsid w:val="44147B34"/>
    <w:rsid w:val="449F6565"/>
    <w:rsid w:val="450A045D"/>
    <w:rsid w:val="45246A6A"/>
    <w:rsid w:val="454B049A"/>
    <w:rsid w:val="45F8417E"/>
    <w:rsid w:val="464A2500"/>
    <w:rsid w:val="46D701E1"/>
    <w:rsid w:val="474156B1"/>
    <w:rsid w:val="475B1F20"/>
    <w:rsid w:val="476E14BB"/>
    <w:rsid w:val="478209C9"/>
    <w:rsid w:val="47A81BD4"/>
    <w:rsid w:val="47CD33E9"/>
    <w:rsid w:val="47D6229D"/>
    <w:rsid w:val="48210BB0"/>
    <w:rsid w:val="4833684C"/>
    <w:rsid w:val="489912AA"/>
    <w:rsid w:val="4A034978"/>
    <w:rsid w:val="4AB706A0"/>
    <w:rsid w:val="4AC533AE"/>
    <w:rsid w:val="4B9A7A86"/>
    <w:rsid w:val="4BDF36EB"/>
    <w:rsid w:val="4C1C049B"/>
    <w:rsid w:val="4C1D6700"/>
    <w:rsid w:val="4C8670D9"/>
    <w:rsid w:val="4CA83BB4"/>
    <w:rsid w:val="4CB5092D"/>
    <w:rsid w:val="4CDA4863"/>
    <w:rsid w:val="4DA66C39"/>
    <w:rsid w:val="4DB14655"/>
    <w:rsid w:val="4DC386F2"/>
    <w:rsid w:val="4F9C7B5B"/>
    <w:rsid w:val="4FA2515B"/>
    <w:rsid w:val="4FAE58AE"/>
    <w:rsid w:val="508D42EA"/>
    <w:rsid w:val="50D15CF8"/>
    <w:rsid w:val="50E61077"/>
    <w:rsid w:val="524E51C9"/>
    <w:rsid w:val="52957E6F"/>
    <w:rsid w:val="52B508F7"/>
    <w:rsid w:val="52BF6DF0"/>
    <w:rsid w:val="52EF4B5B"/>
    <w:rsid w:val="530C5752"/>
    <w:rsid w:val="534D53DE"/>
    <w:rsid w:val="537312E8"/>
    <w:rsid w:val="53EA467D"/>
    <w:rsid w:val="54F613CB"/>
    <w:rsid w:val="54FB77E7"/>
    <w:rsid w:val="55363F72"/>
    <w:rsid w:val="553A1AD3"/>
    <w:rsid w:val="558570B1"/>
    <w:rsid w:val="55B5431E"/>
    <w:rsid w:val="55C37BD9"/>
    <w:rsid w:val="56091A90"/>
    <w:rsid w:val="560C1580"/>
    <w:rsid w:val="56466840"/>
    <w:rsid w:val="570C5CDB"/>
    <w:rsid w:val="572823EA"/>
    <w:rsid w:val="57551741"/>
    <w:rsid w:val="58264824"/>
    <w:rsid w:val="588837B7"/>
    <w:rsid w:val="5895714E"/>
    <w:rsid w:val="58A61818"/>
    <w:rsid w:val="58D8399B"/>
    <w:rsid w:val="59201399"/>
    <w:rsid w:val="59575208"/>
    <w:rsid w:val="59B543E3"/>
    <w:rsid w:val="59D6437F"/>
    <w:rsid w:val="59FB71D1"/>
    <w:rsid w:val="5A7F0572"/>
    <w:rsid w:val="5AAD1584"/>
    <w:rsid w:val="5B1A64ED"/>
    <w:rsid w:val="5B773940"/>
    <w:rsid w:val="5B7C4AB2"/>
    <w:rsid w:val="5BA557F4"/>
    <w:rsid w:val="5BB83C6A"/>
    <w:rsid w:val="5BBB382C"/>
    <w:rsid w:val="5C6C0FCA"/>
    <w:rsid w:val="5C8F4507"/>
    <w:rsid w:val="5D1A4582"/>
    <w:rsid w:val="5D6D4FFA"/>
    <w:rsid w:val="5DAB167E"/>
    <w:rsid w:val="5DE828D3"/>
    <w:rsid w:val="5F021772"/>
    <w:rsid w:val="5FB07420"/>
    <w:rsid w:val="5FE35DB1"/>
    <w:rsid w:val="600302A0"/>
    <w:rsid w:val="60AC408B"/>
    <w:rsid w:val="60B71B8D"/>
    <w:rsid w:val="60D20245"/>
    <w:rsid w:val="615C785F"/>
    <w:rsid w:val="61AD5C96"/>
    <w:rsid w:val="61CB6793"/>
    <w:rsid w:val="61EE5FDE"/>
    <w:rsid w:val="62204E65"/>
    <w:rsid w:val="622D6B06"/>
    <w:rsid w:val="625702B8"/>
    <w:rsid w:val="62A36DC8"/>
    <w:rsid w:val="62CF5E0F"/>
    <w:rsid w:val="62D05AC2"/>
    <w:rsid w:val="639B20E8"/>
    <w:rsid w:val="64083DA3"/>
    <w:rsid w:val="645E744B"/>
    <w:rsid w:val="649E018F"/>
    <w:rsid w:val="64DB6CED"/>
    <w:rsid w:val="65006754"/>
    <w:rsid w:val="65532D27"/>
    <w:rsid w:val="658F77B8"/>
    <w:rsid w:val="65B65064"/>
    <w:rsid w:val="662715DE"/>
    <w:rsid w:val="662A0427"/>
    <w:rsid w:val="665F56FC"/>
    <w:rsid w:val="6661108B"/>
    <w:rsid w:val="66E04A8F"/>
    <w:rsid w:val="67097F3B"/>
    <w:rsid w:val="672A7AB8"/>
    <w:rsid w:val="6732696D"/>
    <w:rsid w:val="674C0924"/>
    <w:rsid w:val="67A05FCC"/>
    <w:rsid w:val="67C43A69"/>
    <w:rsid w:val="67EE6D37"/>
    <w:rsid w:val="67FF0F45"/>
    <w:rsid w:val="69012A9A"/>
    <w:rsid w:val="694E2184"/>
    <w:rsid w:val="69AE49D0"/>
    <w:rsid w:val="6A040A94"/>
    <w:rsid w:val="6C4C4C1E"/>
    <w:rsid w:val="6C832144"/>
    <w:rsid w:val="6C9E1130"/>
    <w:rsid w:val="6CA332C1"/>
    <w:rsid w:val="6CAB0B46"/>
    <w:rsid w:val="6D464F20"/>
    <w:rsid w:val="6EF9B77F"/>
    <w:rsid w:val="6F5E6C6F"/>
    <w:rsid w:val="6F6D2C38"/>
    <w:rsid w:val="6F80296B"/>
    <w:rsid w:val="70840239"/>
    <w:rsid w:val="71E13469"/>
    <w:rsid w:val="722F68CA"/>
    <w:rsid w:val="72312642"/>
    <w:rsid w:val="728C1627"/>
    <w:rsid w:val="72E8597B"/>
    <w:rsid w:val="73196B42"/>
    <w:rsid w:val="73691968"/>
    <w:rsid w:val="73910128"/>
    <w:rsid w:val="73A86934"/>
    <w:rsid w:val="73F6144E"/>
    <w:rsid w:val="74251D33"/>
    <w:rsid w:val="742C1313"/>
    <w:rsid w:val="746C5BB4"/>
    <w:rsid w:val="747607E0"/>
    <w:rsid w:val="74E219D2"/>
    <w:rsid w:val="757D16FB"/>
    <w:rsid w:val="75AE78C8"/>
    <w:rsid w:val="75EA476F"/>
    <w:rsid w:val="763501BA"/>
    <w:rsid w:val="76923261"/>
    <w:rsid w:val="769573A5"/>
    <w:rsid w:val="779A4EA5"/>
    <w:rsid w:val="77A92C7B"/>
    <w:rsid w:val="77C10E5A"/>
    <w:rsid w:val="77C700B4"/>
    <w:rsid w:val="782E0D4D"/>
    <w:rsid w:val="788D434B"/>
    <w:rsid w:val="78AC657F"/>
    <w:rsid w:val="79052133"/>
    <w:rsid w:val="79336CA0"/>
    <w:rsid w:val="796A2383"/>
    <w:rsid w:val="79870D9A"/>
    <w:rsid w:val="79AC6248"/>
    <w:rsid w:val="79C8563A"/>
    <w:rsid w:val="7A744B2C"/>
    <w:rsid w:val="7A8F5E46"/>
    <w:rsid w:val="7AD61FD9"/>
    <w:rsid w:val="7B670E83"/>
    <w:rsid w:val="7B7C0170"/>
    <w:rsid w:val="7B916C11"/>
    <w:rsid w:val="7C7F12D0"/>
    <w:rsid w:val="7CA25995"/>
    <w:rsid w:val="7CC60F7E"/>
    <w:rsid w:val="7E7676CE"/>
    <w:rsid w:val="7E867872"/>
    <w:rsid w:val="7EB97C47"/>
    <w:rsid w:val="7ED405DD"/>
    <w:rsid w:val="7EFC5D86"/>
    <w:rsid w:val="7FFF8228"/>
    <w:rsid w:val="BF3ED6FE"/>
    <w:rsid w:val="BFFF13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qFormat="1" w:unhideWhenUsed="0" w:uiPriority="99"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99" w:semiHidden="0" w:name="footnote reference"/>
    <w:lsdException w:qFormat="1" w:uiPriority="99" w:semiHidden="0" w:name="annotation reference"/>
    <w:lsdException w:qFormat="1" w:uiPriority="99" w:name="line number"/>
    <w:lsdException w:qFormat="1" w:unhideWhenUsed="0" w:uiPriority="0" w:semiHidden="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0" w:semiHidden="0"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0" w:semiHidden="0" w:name="Body Text"/>
    <w:lsdException w:qFormat="1" w:uiPriority="0" w:semiHidden="0" w:name="Body Text Indent"/>
    <w:lsdException w:qFormat="1" w:uiPriority="0" w:semiHidden="0"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semiHidden="0" w:name="Date"/>
    <w:lsdException w:qFormat="1" w:uiPriority="0" w:semiHidden="0" w:name="Body Text First Indent"/>
    <w:lsdException w:qFormat="1" w:uiPriority="99" w:name="Body Text First Indent 2"/>
    <w:lsdException w:qFormat="1" w:uiPriority="99" w:name="Note Heading"/>
    <w:lsdException w:qFormat="1" w:uiPriority="0" w:semiHidden="0" w:name="Body Text 2"/>
    <w:lsdException w:qFormat="1" w:uiPriority="99" w:name="Body Text 3"/>
    <w:lsdException w:qFormat="1" w:uiPriority="0" w:semiHidden="0" w:name="Body Text Indent 2"/>
    <w:lsdException w:qFormat="1" w:uiPriority="0" w:semiHidden="0"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0" w:semiHidden="0" w:name="Plain Text"/>
    <w:lsdException w:qFormat="1" w:uiPriority="99"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99" w:semiHidden="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semiHidden="0"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semiHidden="0"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3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29"/>
    <w:qFormat/>
    <w:uiPriority w:val="0"/>
    <w:pPr>
      <w:keepNext/>
      <w:keepLines/>
      <w:spacing w:before="260" w:after="260" w:line="416" w:lineRule="auto"/>
      <w:outlineLvl w:val="2"/>
    </w:pPr>
    <w:rPr>
      <w:b/>
      <w:bCs/>
      <w:sz w:val="32"/>
      <w:szCs w:val="32"/>
    </w:rPr>
  </w:style>
  <w:style w:type="paragraph" w:styleId="6">
    <w:name w:val="heading 4"/>
    <w:basedOn w:val="1"/>
    <w:next w:val="1"/>
    <w:link w:val="533"/>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34"/>
    <w:qFormat/>
    <w:uiPriority w:val="9"/>
    <w:pPr>
      <w:keepNext/>
      <w:keepLines/>
      <w:spacing w:before="280" w:after="290" w:line="376" w:lineRule="auto"/>
      <w:outlineLvl w:val="4"/>
    </w:pPr>
    <w:rPr>
      <w:b/>
      <w:bCs/>
      <w:sz w:val="28"/>
      <w:szCs w:val="28"/>
    </w:rPr>
  </w:style>
  <w:style w:type="paragraph" w:styleId="8">
    <w:name w:val="heading 6"/>
    <w:basedOn w:val="1"/>
    <w:next w:val="1"/>
    <w:link w:val="535"/>
    <w:qFormat/>
    <w:uiPriority w:val="9"/>
    <w:pPr>
      <w:keepNext/>
      <w:keepLines/>
      <w:spacing w:before="240" w:after="64" w:line="320" w:lineRule="auto"/>
      <w:outlineLvl w:val="5"/>
    </w:pPr>
    <w:rPr>
      <w:rFonts w:ascii="Arial" w:hAnsi="Arial" w:eastAsia="黑体"/>
      <w:b/>
      <w:bCs/>
      <w:sz w:val="24"/>
    </w:rPr>
  </w:style>
  <w:style w:type="paragraph" w:styleId="9">
    <w:name w:val="heading 7"/>
    <w:basedOn w:val="1"/>
    <w:next w:val="1"/>
    <w:link w:val="536"/>
    <w:qFormat/>
    <w:uiPriority w:val="9"/>
    <w:pPr>
      <w:keepNext/>
      <w:keepLines/>
      <w:spacing w:before="240" w:after="64" w:line="320" w:lineRule="auto"/>
      <w:outlineLvl w:val="6"/>
    </w:pPr>
    <w:rPr>
      <w:b/>
      <w:bCs/>
      <w:sz w:val="24"/>
    </w:rPr>
  </w:style>
  <w:style w:type="paragraph" w:styleId="10">
    <w:name w:val="heading 8"/>
    <w:basedOn w:val="1"/>
    <w:next w:val="1"/>
    <w:link w:val="537"/>
    <w:qFormat/>
    <w:uiPriority w:val="9"/>
    <w:pPr>
      <w:keepNext/>
      <w:keepLines/>
      <w:spacing w:before="240" w:after="64" w:line="320" w:lineRule="auto"/>
      <w:outlineLvl w:val="7"/>
    </w:pPr>
    <w:rPr>
      <w:rFonts w:ascii="Arial" w:hAnsi="Arial" w:eastAsia="黑体"/>
      <w:sz w:val="24"/>
    </w:rPr>
  </w:style>
  <w:style w:type="paragraph" w:styleId="11">
    <w:name w:val="heading 9"/>
    <w:basedOn w:val="1"/>
    <w:next w:val="1"/>
    <w:link w:val="538"/>
    <w:qFormat/>
    <w:uiPriority w:val="9"/>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36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next w:val="1"/>
    <w:qFormat/>
    <w:uiPriority w:val="39"/>
    <w:pPr>
      <w:ind w:left="500" w:leftChars="500"/>
    </w:pPr>
  </w:style>
  <w:style w:type="paragraph" w:styleId="14">
    <w:name w:val="toc 6"/>
    <w:basedOn w:val="15"/>
    <w:next w:val="1"/>
    <w:qFormat/>
    <w:uiPriority w:val="39"/>
    <w:pPr>
      <w:ind w:left="400" w:leftChars="400"/>
    </w:pPr>
  </w:style>
  <w:style w:type="paragraph" w:styleId="15">
    <w:name w:val="toc 5"/>
    <w:basedOn w:val="16"/>
    <w:next w:val="1"/>
    <w:qFormat/>
    <w:uiPriority w:val="39"/>
    <w:pPr>
      <w:ind w:left="300" w:leftChars="300"/>
    </w:pPr>
  </w:style>
  <w:style w:type="paragraph" w:styleId="16">
    <w:name w:val="toc 4"/>
    <w:basedOn w:val="17"/>
    <w:next w:val="1"/>
    <w:qFormat/>
    <w:uiPriority w:val="39"/>
    <w:pPr>
      <w:ind w:left="200" w:leftChars="200"/>
    </w:pPr>
  </w:style>
  <w:style w:type="paragraph" w:styleId="17">
    <w:name w:val="toc 3"/>
    <w:basedOn w:val="18"/>
    <w:next w:val="1"/>
    <w:qFormat/>
    <w:uiPriority w:val="39"/>
    <w:pPr>
      <w:ind w:left="100" w:leftChars="100"/>
    </w:pPr>
  </w:style>
  <w:style w:type="paragraph" w:styleId="18">
    <w:name w:val="toc 2"/>
    <w:basedOn w:val="19"/>
    <w:next w:val="1"/>
    <w:qFormat/>
    <w:uiPriority w:val="39"/>
  </w:style>
  <w:style w:type="paragraph" w:styleId="19">
    <w:name w:val="toc 1"/>
    <w:next w:val="1"/>
    <w:qFormat/>
    <w:uiPriority w:val="39"/>
    <w:pPr>
      <w:spacing w:before="25" w:beforeLines="25" w:after="25" w:afterLines="25"/>
      <w:jc w:val="both"/>
    </w:pPr>
    <w:rPr>
      <w:rFonts w:ascii="宋体" w:hAnsi="Times New Roman" w:eastAsia="宋体" w:cs="Times New Roman"/>
      <w:sz w:val="21"/>
      <w:lang w:val="en-US" w:eastAsia="zh-CN" w:bidi="ar-SA"/>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92"/>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8"/>
    <w:semiHidden/>
    <w:unhideWhenUsed/>
    <w:qFormat/>
    <w:uiPriority w:val="99"/>
  </w:style>
  <w:style w:type="paragraph" w:styleId="26">
    <w:name w:val="List Number"/>
    <w:basedOn w:val="1"/>
    <w:semiHidden/>
    <w:unhideWhenUsed/>
    <w:qFormat/>
    <w:uiPriority w:val="99"/>
    <w:pPr>
      <w:numPr>
        <w:ilvl w:val="0"/>
        <w:numId w:val="3"/>
      </w:numPr>
      <w:contextualSpacing/>
    </w:pPr>
  </w:style>
  <w:style w:type="paragraph" w:styleId="27">
    <w:name w:val="Normal Indent"/>
    <w:basedOn w:val="1"/>
    <w:unhideWhenUsed/>
    <w:qFormat/>
    <w:uiPriority w:val="0"/>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4"/>
      </w:numPr>
      <w:contextualSpacing/>
    </w:pPr>
  </w:style>
  <w:style w:type="paragraph" w:styleId="31">
    <w:name w:val="envelope address"/>
    <w:basedOn w:val="1"/>
    <w:semiHidden/>
    <w:unhideWhenUsed/>
    <w:qFormat/>
    <w:uiPriority w:val="99"/>
    <w:pPr>
      <w:framePr w:w="7920" w:h="1980" w:hRule="exact" w:hSpace="180" w:wrap="around"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4"/>
    <w:unhideWhenUsed/>
    <w:qFormat/>
    <w:uiPriority w:val="0"/>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8"/>
    <w:unhideWhenUsed/>
    <w:qFormat/>
    <w:uiPriority w:val="0"/>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6"/>
    <w:semiHidden/>
    <w:unhideWhenUsed/>
    <w:qFormat/>
    <w:uiPriority w:val="99"/>
  </w:style>
  <w:style w:type="paragraph" w:styleId="37">
    <w:name w:val="Body Text 3"/>
    <w:basedOn w:val="1"/>
    <w:link w:val="489"/>
    <w:semiHidden/>
    <w:unhideWhenUsed/>
    <w:qFormat/>
    <w:uiPriority w:val="99"/>
    <w:pPr>
      <w:spacing w:after="120"/>
    </w:pPr>
    <w:rPr>
      <w:sz w:val="16"/>
      <w:szCs w:val="16"/>
    </w:rPr>
  </w:style>
  <w:style w:type="paragraph" w:styleId="38">
    <w:name w:val="Closing"/>
    <w:basedOn w:val="1"/>
    <w:link w:val="361"/>
    <w:semiHidden/>
    <w:unhideWhenUsed/>
    <w:qFormat/>
    <w:uiPriority w:val="99"/>
    <w:pPr>
      <w:ind w:left="100" w:leftChars="2100"/>
    </w:pPr>
  </w:style>
  <w:style w:type="paragraph" w:styleId="39">
    <w:name w:val="List Bullet 3"/>
    <w:basedOn w:val="1"/>
    <w:semiHidden/>
    <w:unhideWhenUsed/>
    <w:qFormat/>
    <w:uiPriority w:val="99"/>
    <w:pPr>
      <w:numPr>
        <w:ilvl w:val="0"/>
        <w:numId w:val="5"/>
      </w:numPr>
      <w:contextualSpacing/>
    </w:pPr>
  </w:style>
  <w:style w:type="paragraph" w:styleId="40">
    <w:name w:val="Body Text"/>
    <w:basedOn w:val="1"/>
    <w:link w:val="333"/>
    <w:unhideWhenUsed/>
    <w:qFormat/>
    <w:uiPriority w:val="0"/>
    <w:pPr>
      <w:spacing w:after="120"/>
    </w:pPr>
  </w:style>
  <w:style w:type="paragraph" w:styleId="41">
    <w:name w:val="Body Text Indent"/>
    <w:basedOn w:val="1"/>
    <w:link w:val="486"/>
    <w:unhideWhenUsed/>
    <w:qFormat/>
    <w:uiPriority w:val="0"/>
    <w:pPr>
      <w:spacing w:after="120"/>
      <w:ind w:left="420" w:leftChars="200"/>
    </w:pPr>
  </w:style>
  <w:style w:type="paragraph" w:styleId="42">
    <w:name w:val="List Number 3"/>
    <w:basedOn w:val="1"/>
    <w:semiHidden/>
    <w:unhideWhenUsed/>
    <w:qFormat/>
    <w:uiPriority w:val="99"/>
    <w:pPr>
      <w:numPr>
        <w:ilvl w:val="0"/>
        <w:numId w:val="6"/>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unhideWhenUsed/>
    <w:qFormat/>
    <w:uiPriority w:val="0"/>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numPr>
        <w:ilvl w:val="0"/>
        <w:numId w:val="7"/>
      </w:numPr>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7"/>
    <w:unhideWhenUsed/>
    <w:qFormat/>
    <w:uiPriority w:val="0"/>
    <w:rPr>
      <w:rFonts w:ascii="宋体" w:hAnsi="Courier New" w:cs="Courier New"/>
      <w:szCs w:val="21"/>
    </w:rPr>
  </w:style>
  <w:style w:type="paragraph" w:styleId="50">
    <w:name w:val="List Bullet 5"/>
    <w:basedOn w:val="1"/>
    <w:semiHidden/>
    <w:unhideWhenUsed/>
    <w:qFormat/>
    <w:uiPriority w:val="99"/>
    <w:pPr>
      <w:numPr>
        <w:ilvl w:val="0"/>
        <w:numId w:val="8"/>
      </w:numPr>
      <w:contextualSpacing/>
    </w:pPr>
  </w:style>
  <w:style w:type="paragraph" w:styleId="51">
    <w:name w:val="List Number 4"/>
    <w:basedOn w:val="1"/>
    <w:semiHidden/>
    <w:unhideWhenUsed/>
    <w:qFormat/>
    <w:uiPriority w:val="99"/>
    <w:pPr>
      <w:numPr>
        <w:ilvl w:val="0"/>
        <w:numId w:val="9"/>
      </w:numPr>
      <w:contextualSpacing/>
    </w:pPr>
  </w:style>
  <w:style w:type="paragraph" w:styleId="52">
    <w:name w:val="toc 8"/>
    <w:basedOn w:val="13"/>
    <w:next w:val="1"/>
    <w:qFormat/>
    <w:uiPriority w:val="39"/>
  </w:style>
  <w:style w:type="paragraph" w:styleId="53">
    <w:name w:val="index 3"/>
    <w:basedOn w:val="1"/>
    <w:next w:val="1"/>
    <w:semiHidden/>
    <w:unhideWhenUsed/>
    <w:qFormat/>
    <w:uiPriority w:val="99"/>
    <w:pPr>
      <w:ind w:left="400" w:leftChars="400"/>
    </w:pPr>
  </w:style>
  <w:style w:type="paragraph" w:styleId="54">
    <w:name w:val="Date"/>
    <w:basedOn w:val="1"/>
    <w:next w:val="1"/>
    <w:link w:val="420"/>
    <w:unhideWhenUsed/>
    <w:qFormat/>
    <w:uiPriority w:val="99"/>
    <w:pPr>
      <w:ind w:left="100" w:leftChars="2500"/>
    </w:pPr>
  </w:style>
  <w:style w:type="paragraph" w:styleId="55">
    <w:name w:val="Body Text Indent 2"/>
    <w:basedOn w:val="1"/>
    <w:link w:val="490"/>
    <w:unhideWhenUsed/>
    <w:qFormat/>
    <w:uiPriority w:val="0"/>
    <w:pPr>
      <w:spacing w:after="120" w:line="480" w:lineRule="auto"/>
      <w:ind w:left="420" w:leftChars="200"/>
    </w:pPr>
  </w:style>
  <w:style w:type="paragraph" w:styleId="56">
    <w:name w:val="endnote text"/>
    <w:basedOn w:val="1"/>
    <w:link w:val="473"/>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7"/>
    <w:unhideWhenUsed/>
    <w:qFormat/>
    <w:uiPriority w:val="99"/>
    <w:rPr>
      <w:sz w:val="18"/>
      <w:szCs w:val="18"/>
    </w:rPr>
  </w:style>
  <w:style w:type="paragraph" w:styleId="59">
    <w:name w:val="footer"/>
    <w:basedOn w:val="1"/>
    <w:link w:val="521"/>
    <w:qFormat/>
    <w:uiPriority w:val="99"/>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link w:val="520"/>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70"/>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5">
    <w:name w:val="index 1"/>
    <w:basedOn w:val="1"/>
    <w:next w:val="1"/>
    <w:semiHidden/>
    <w:unhideWhenUsed/>
    <w:qFormat/>
    <w:uiPriority w:val="99"/>
    <w:rPr>
      <w:rFonts w:ascii="宋体" w:hAnsi="宋体"/>
    </w:rPr>
  </w:style>
  <w:style w:type="paragraph" w:styleId="66">
    <w:name w:val="Subtitle"/>
    <w:basedOn w:val="1"/>
    <w:next w:val="1"/>
    <w:link w:val="359"/>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unhideWhenUsed/>
    <w:qFormat/>
    <w:uiPriority w:val="0"/>
    <w:pPr>
      <w:ind w:left="200" w:hanging="200" w:hangingChars="200"/>
      <w:contextualSpacing/>
    </w:pPr>
  </w:style>
  <w:style w:type="paragraph" w:styleId="69">
    <w:name w:val="footnote text"/>
    <w:basedOn w:val="1"/>
    <w:link w:val="539"/>
    <w:qFormat/>
    <w:uiPriority w:val="99"/>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91"/>
    <w:unhideWhenUsed/>
    <w:qFormat/>
    <w:uiPriority w:val="0"/>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next w:val="1"/>
    <w:qFormat/>
    <w:uiPriority w:val="39"/>
  </w:style>
  <w:style w:type="paragraph" w:styleId="76">
    <w:name w:val="Body Text 2"/>
    <w:basedOn w:val="1"/>
    <w:link w:val="488"/>
    <w:unhideWhenUsed/>
    <w:qFormat/>
    <w:uiPriority w:val="0"/>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8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540"/>
    <w:qFormat/>
    <w:uiPriority w:val="99"/>
    <w:rPr>
      <w:rFonts w:ascii="Courier New" w:hAnsi="Courier New" w:cs="Courier New"/>
      <w:sz w:val="20"/>
      <w:szCs w:val="20"/>
    </w:rPr>
  </w:style>
  <w:style w:type="paragraph" w:styleId="81">
    <w:name w:val="Normal (Web)"/>
    <w:basedOn w:val="1"/>
    <w:unhideWhenUsed/>
    <w:qFormat/>
    <w:uiPriority w:val="99"/>
    <w:pPr>
      <w:jc w:val="left"/>
    </w:pPr>
    <w:rPr>
      <w:kern w:val="0"/>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link w:val="54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9"/>
    <w:unhideWhenUsed/>
    <w:qFormat/>
    <w:uiPriority w:val="99"/>
    <w:rPr>
      <w:b/>
      <w:bCs/>
    </w:rPr>
  </w:style>
  <w:style w:type="paragraph" w:styleId="86">
    <w:name w:val="Body Text First Indent"/>
    <w:basedOn w:val="40"/>
    <w:link w:val="485"/>
    <w:unhideWhenUsed/>
    <w:qFormat/>
    <w:uiPriority w:val="0"/>
    <w:pPr>
      <w:ind w:firstLine="420" w:firstLineChars="100"/>
    </w:pPr>
  </w:style>
  <w:style w:type="paragraph" w:styleId="87">
    <w:name w:val="Body Text First Indent 2"/>
    <w:basedOn w:val="41"/>
    <w:link w:val="487"/>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qFormat/>
    <w:uiPriority w:val="0"/>
    <w:rPr>
      <w:rFonts w:ascii="Courier New" w:hAnsi="Courier New"/>
      <w:sz w:val="20"/>
      <w:szCs w:val="20"/>
    </w:rPr>
  </w:style>
  <w:style w:type="character" w:styleId="244">
    <w:name w:val="annotation reference"/>
    <w:basedOn w:val="231"/>
    <w:unhideWhenUsed/>
    <w:qFormat/>
    <w:uiPriority w:val="99"/>
    <w:rPr>
      <w:sz w:val="21"/>
      <w:szCs w:val="21"/>
    </w:rPr>
  </w:style>
  <w:style w:type="character" w:styleId="245">
    <w:name w:val="HTML Cite"/>
    <w:basedOn w:val="231"/>
    <w:semiHidden/>
    <w:qFormat/>
    <w:uiPriority w:val="0"/>
    <w:rPr>
      <w:i/>
      <w:iCs/>
    </w:rPr>
  </w:style>
  <w:style w:type="character" w:styleId="246">
    <w:name w:val="footnote reference"/>
    <w:basedOn w:val="231"/>
    <w:qFormat/>
    <w:uiPriority w:val="99"/>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link w:val="605"/>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3"/>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hAnsi="黑体"/>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258"/>
    <w:qFormat/>
    <w:uiPriority w:val="0"/>
    <w:pPr>
      <w:numPr>
        <w:ilvl w:val="1"/>
        <w:numId w:val="12"/>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3"/>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2"/>
    </w:pPr>
  </w:style>
  <w:style w:type="paragraph" w:customStyle="1" w:styleId="278">
    <w:name w:val="附录二级条标题"/>
    <w:basedOn w:val="1"/>
    <w:next w:val="258"/>
    <w:qFormat/>
    <w:uiPriority w:val="0"/>
    <w:pPr>
      <w:widowControl/>
      <w:numPr>
        <w:ilvl w:val="3"/>
        <w:numId w:val="13"/>
      </w:numPr>
      <w:wordWrap w:val="0"/>
      <w:overflowPunct w:val="0"/>
      <w:autoSpaceDE w:val="0"/>
      <w:autoSpaceDN w:val="0"/>
      <w:spacing w:before="50" w:beforeLines="50" w:after="50" w:afterLines="50"/>
      <w:textAlignment w:val="baseline"/>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outlineLvl w:val="9"/>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69"/>
    <w:link w:val="332"/>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19"/>
      </w:numPr>
      <w:tabs>
        <w:tab w:val="clear" w:pos="360"/>
      </w:tabs>
    </w:pPr>
  </w:style>
  <w:style w:type="paragraph" w:customStyle="1" w:styleId="303">
    <w:name w:val="注："/>
    <w:next w:val="1"/>
    <w:qFormat/>
    <w:uiPriority w:val="0"/>
    <w:pPr>
      <w:widowControl w:val="0"/>
      <w:numPr>
        <w:ilvl w:val="0"/>
        <w:numId w:val="20"/>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1"/>
      </w:numPr>
      <w:autoSpaceDE w:val="0"/>
      <w:autoSpaceDN w:val="0"/>
      <w:jc w:val="both"/>
    </w:pPr>
    <w:rPr>
      <w:rFonts w:ascii="黑体" w:hAnsi="Times New Roman" w:cs="Times New Roman" w:eastAsiaTheme="minorEastAsia"/>
      <w:sz w:val="18"/>
      <w:szCs w:val="18"/>
      <w:lang w:val="en-US" w:eastAsia="zh-CN" w:bidi="ar-SA"/>
    </w:rPr>
  </w:style>
  <w:style w:type="paragraph" w:customStyle="1" w:styleId="305">
    <w:name w:val="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引言一级条标题"/>
    <w:basedOn w:val="1"/>
    <w:next w:val="258"/>
    <w:qFormat/>
    <w:uiPriority w:val="0"/>
    <w:pPr>
      <w:widowControl/>
      <w:numPr>
        <w:ilvl w:val="0"/>
        <w:numId w:val="22"/>
      </w:numPr>
      <w:tabs>
        <w:tab w:val="clear" w:pos="360"/>
      </w:tabs>
      <w:spacing w:before="50" w:beforeLines="50" w:after="50" w:afterLines="50"/>
    </w:pPr>
    <w:rPr>
      <w:rFonts w:eastAsia="黑体"/>
    </w:rPr>
  </w:style>
  <w:style w:type="paragraph" w:customStyle="1" w:styleId="307">
    <w:name w:val="示例×："/>
    <w:basedOn w:val="1"/>
    <w:next w:val="293"/>
    <w:qFormat/>
    <w:uiPriority w:val="0"/>
    <w:pPr>
      <w:widowControl/>
      <w:numPr>
        <w:ilvl w:val="0"/>
        <w:numId w:val="23"/>
      </w:numPr>
    </w:pPr>
    <w:rPr>
      <w:rFonts w:ascii="宋体"/>
      <w:kern w:val="0"/>
      <w:sz w:val="18"/>
      <w:szCs w:val="18"/>
    </w:rPr>
  </w:style>
  <w:style w:type="paragraph" w:customStyle="1" w:styleId="308">
    <w:name w:val="工程建设章标题"/>
    <w:next w:val="258"/>
    <w:qFormat/>
    <w:uiPriority w:val="0"/>
    <w:pPr>
      <w:numPr>
        <w:ilvl w:val="1"/>
        <w:numId w:val="24"/>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8"/>
    <w:qFormat/>
    <w:uiPriority w:val="0"/>
    <w:pPr>
      <w:numPr>
        <w:ilvl w:val="2"/>
      </w:numPr>
      <w:spacing w:before="400" w:after="400" w:line="240" w:lineRule="auto"/>
      <w:outlineLvl w:val="2"/>
    </w:pPr>
    <w:rPr>
      <w:sz w:val="21"/>
    </w:rPr>
  </w:style>
  <w:style w:type="paragraph" w:customStyle="1" w:styleId="310">
    <w:name w:val="工程建设条标题"/>
    <w:basedOn w:val="309"/>
    <w:next w:val="258"/>
    <w:qFormat/>
    <w:uiPriority w:val="0"/>
    <w:pPr>
      <w:numPr>
        <w:ilvl w:val="3"/>
      </w:numPr>
      <w:spacing w:before="0" w:after="0"/>
      <w:jc w:val="left"/>
      <w:outlineLvl w:val="3"/>
    </w:pPr>
    <w:rPr>
      <w:b w:val="0"/>
    </w:rPr>
  </w:style>
  <w:style w:type="paragraph" w:customStyle="1" w:styleId="311">
    <w:name w:val="工程建设表标题"/>
    <w:basedOn w:val="310"/>
    <w:qFormat/>
    <w:uiPriority w:val="0"/>
    <w:pPr>
      <w:numPr>
        <w:ilvl w:val="4"/>
      </w:numPr>
      <w:jc w:val="center"/>
      <w:outlineLvl w:val="4"/>
    </w:pPr>
  </w:style>
  <w:style w:type="paragraph" w:customStyle="1" w:styleId="312">
    <w:name w:val="工程建设图标题"/>
    <w:basedOn w:val="310"/>
    <w:qFormat/>
    <w:uiPriority w:val="0"/>
    <w:pPr>
      <w:numPr>
        <w:ilvl w:val="5"/>
      </w:numPr>
      <w:jc w:val="center"/>
      <w:outlineLvl w:val="5"/>
    </w:pPr>
  </w:style>
  <w:style w:type="paragraph" w:customStyle="1" w:styleId="313">
    <w:name w:val="工程建设公式标题"/>
    <w:basedOn w:val="310"/>
    <w:qFormat/>
    <w:uiPriority w:val="0"/>
    <w:pPr>
      <w:numPr>
        <w:ilvl w:val="6"/>
      </w:numPr>
      <w:jc w:val="center"/>
      <w:outlineLvl w:val="6"/>
    </w:pPr>
  </w:style>
  <w:style w:type="paragraph" w:customStyle="1" w:styleId="314">
    <w:name w:val="工程建设无节条标题"/>
    <w:basedOn w:val="1"/>
    <w:next w:val="258"/>
    <w:qFormat/>
    <w:uiPriority w:val="0"/>
    <w:pPr>
      <w:numPr>
        <w:ilvl w:val="8"/>
        <w:numId w:val="24"/>
      </w:numPr>
      <w:tabs>
        <w:tab w:val="clear" w:pos="720"/>
      </w:tabs>
      <w:outlineLvl w:val="3"/>
    </w:pPr>
  </w:style>
  <w:style w:type="paragraph" w:customStyle="1" w:styleId="315">
    <w:name w:val="工程建设款标题"/>
    <w:basedOn w:val="310"/>
    <w:qFormat/>
    <w:uiPriority w:val="0"/>
    <w:pPr>
      <w:numPr>
        <w:ilvl w:val="7"/>
      </w:numPr>
      <w:outlineLvl w:val="9"/>
    </w:pPr>
  </w:style>
  <w:style w:type="paragraph" w:customStyle="1" w:styleId="316">
    <w:name w:val="名称"/>
    <w:basedOn w:val="256"/>
    <w:next w:val="258"/>
    <w:qFormat/>
    <w:uiPriority w:val="0"/>
    <w:pPr>
      <w:spacing w:line="460" w:lineRule="exact"/>
      <w:outlineLvl w:val="9"/>
    </w:pPr>
  </w:style>
  <w:style w:type="paragraph" w:customStyle="1" w:styleId="317">
    <w:name w:val="正文表标题续表"/>
    <w:basedOn w:val="301"/>
    <w:next w:val="258"/>
    <w:qFormat/>
    <w:uiPriority w:val="0"/>
  </w:style>
  <w:style w:type="paragraph" w:customStyle="1" w:styleId="318">
    <w:name w:val="附录表标题续表"/>
    <w:basedOn w:val="275"/>
    <w:next w:val="258"/>
    <w:qFormat/>
    <w:uiPriority w:val="0"/>
    <w:pPr>
      <w:numPr>
        <w:ilvl w:val="2"/>
      </w:numPr>
    </w:pPr>
  </w:style>
  <w:style w:type="paragraph" w:customStyle="1" w:styleId="319">
    <w:name w:val="术语定义二级条标题"/>
    <w:basedOn w:val="261"/>
    <w:next w:val="258"/>
    <w:qFormat/>
    <w:uiPriority w:val="0"/>
    <w:pPr>
      <w:spacing w:before="0" w:beforeLines="0" w:after="0" w:afterLines="0"/>
      <w:outlineLvl w:val="9"/>
    </w:pPr>
  </w:style>
  <w:style w:type="paragraph" w:customStyle="1" w:styleId="320">
    <w:name w:val="术语定义三级条标题"/>
    <w:basedOn w:val="290"/>
    <w:next w:val="258"/>
    <w:qFormat/>
    <w:uiPriority w:val="0"/>
    <w:pPr>
      <w:spacing w:before="0" w:beforeLines="0" w:after="0" w:afterLines="0"/>
    </w:pPr>
  </w:style>
  <w:style w:type="paragraph" w:customStyle="1" w:styleId="321">
    <w:name w:val="式中"/>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5"/>
    <w:next w:val="258"/>
    <w:qFormat/>
    <w:uiPriority w:val="0"/>
    <w:pPr>
      <w:spacing w:before="0" w:beforeLines="0" w:after="0" w:afterLines="0"/>
    </w:pPr>
  </w:style>
  <w:style w:type="paragraph" w:customStyle="1" w:styleId="323">
    <w:name w:val="术语定义五级条标题"/>
    <w:basedOn w:val="300"/>
    <w:next w:val="258"/>
    <w:qFormat/>
    <w:uiPriority w:val="0"/>
    <w:pPr>
      <w:spacing w:before="0" w:beforeLines="0" w:after="0" w:afterLines="0"/>
    </w:pPr>
  </w:style>
  <w:style w:type="paragraph" w:customStyle="1" w:styleId="324">
    <w:name w:val="术语定义一级条标题"/>
    <w:basedOn w:val="260"/>
    <w:next w:val="258"/>
    <w:qFormat/>
    <w:uiPriority w:val="0"/>
    <w:pPr>
      <w:spacing w:before="0" w:beforeLines="0" w:after="0" w:afterLines="0"/>
      <w:outlineLvl w:val="9"/>
    </w:pPr>
  </w:style>
  <w:style w:type="paragraph" w:customStyle="1" w:styleId="325">
    <w:name w:val="条文说明"/>
    <w:basedOn w:val="316"/>
    <w:qFormat/>
    <w:uiPriority w:val="0"/>
  </w:style>
  <w:style w:type="paragraph" w:customStyle="1" w:styleId="326">
    <w:name w:val="列项·"/>
    <w:qFormat/>
    <w:uiPriority w:val="0"/>
    <w:pPr>
      <w:numPr>
        <w:ilvl w:val="0"/>
        <w:numId w:val="25"/>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1"/>
    <w:qFormat/>
    <w:uiPriority w:val="0"/>
    <w:pPr>
      <w:spacing w:before="0" w:beforeLines="0" w:after="0" w:afterLines="0"/>
      <w:outlineLvl w:val="9"/>
    </w:pPr>
    <w:rPr>
      <w:rFonts w:eastAsiaTheme="majorEastAsia"/>
    </w:rPr>
  </w:style>
  <w:style w:type="paragraph" w:customStyle="1" w:styleId="328">
    <w:name w:val="三级无标题条"/>
    <w:basedOn w:val="290"/>
    <w:qFormat/>
    <w:uiPriority w:val="0"/>
    <w:pPr>
      <w:spacing w:before="0" w:beforeLines="0" w:after="0" w:afterLines="0"/>
    </w:pPr>
    <w:rPr>
      <w:rFonts w:eastAsiaTheme="majorEastAsia"/>
    </w:rPr>
  </w:style>
  <w:style w:type="paragraph" w:customStyle="1" w:styleId="329">
    <w:name w:val="四级无标题条"/>
    <w:basedOn w:val="295"/>
    <w:qFormat/>
    <w:uiPriority w:val="0"/>
    <w:pPr>
      <w:spacing w:before="0" w:beforeLines="0" w:after="0" w:afterLines="0"/>
    </w:pPr>
    <w:rPr>
      <w:rFonts w:eastAsiaTheme="majorEastAsia"/>
    </w:rPr>
  </w:style>
  <w:style w:type="paragraph" w:customStyle="1" w:styleId="330">
    <w:name w:val="五级无标题条"/>
    <w:basedOn w:val="300"/>
    <w:qFormat/>
    <w:uiPriority w:val="0"/>
    <w:pPr>
      <w:spacing w:before="0" w:beforeLines="0" w:after="0" w:afterLines="0"/>
    </w:pPr>
    <w:rPr>
      <w:rFonts w:eastAsiaTheme="majorEastAsia"/>
    </w:rPr>
  </w:style>
  <w:style w:type="paragraph" w:customStyle="1" w:styleId="331">
    <w:name w:val="一级无标题条"/>
    <w:basedOn w:val="260"/>
    <w:qFormat/>
    <w:uiPriority w:val="0"/>
    <w:pPr>
      <w:spacing w:before="0" w:beforeLines="0" w:after="0" w:afterLines="0"/>
      <w:outlineLvl w:val="9"/>
    </w:pPr>
    <w:rPr>
      <w:rFonts w:eastAsiaTheme="majorEastAsia"/>
    </w:rPr>
  </w:style>
  <w:style w:type="character" w:customStyle="1" w:styleId="332">
    <w:name w:val="条文脚注 Char"/>
    <w:basedOn w:val="333"/>
    <w:link w:val="296"/>
    <w:qFormat/>
    <w:uiPriority w:val="0"/>
    <w:rPr>
      <w:rFonts w:ascii="宋体"/>
      <w:kern w:val="2"/>
      <w:sz w:val="18"/>
      <w:szCs w:val="18"/>
    </w:rPr>
  </w:style>
  <w:style w:type="character" w:customStyle="1" w:styleId="333">
    <w:name w:val="正文文本 Char"/>
    <w:basedOn w:val="231"/>
    <w:link w:val="40"/>
    <w:qFormat/>
    <w:uiPriority w:val="0"/>
    <w:rPr>
      <w:kern w:val="2"/>
      <w:sz w:val="21"/>
      <w:szCs w:val="24"/>
    </w:rPr>
  </w:style>
  <w:style w:type="paragraph" w:customStyle="1" w:styleId="334">
    <w:name w:val="ICS"/>
    <w:basedOn w:val="273"/>
    <w:qFormat/>
    <w:uiPriority w:val="0"/>
    <w:pPr>
      <w:jc w:val="left"/>
    </w:pPr>
    <w:rPr>
      <w:rFonts w:ascii="黑体" w:eastAsia="黑体"/>
      <w:sz w:val="21"/>
    </w:rPr>
  </w:style>
  <w:style w:type="paragraph" w:customStyle="1" w:styleId="335">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40"/>
    <w:qFormat/>
    <w:uiPriority w:val="0"/>
    <w:pPr>
      <w:spacing w:after="0" w:line="280" w:lineRule="exact"/>
      <w:ind w:left="284"/>
    </w:pPr>
    <w:rPr>
      <w:rFonts w:ascii="黑体" w:eastAsia="黑体"/>
      <w:kern w:val="3"/>
      <w:sz w:val="28"/>
    </w:rPr>
  </w:style>
  <w:style w:type="paragraph" w:customStyle="1" w:styleId="337">
    <w:name w:val="标准称谓DB"/>
    <w:next w:val="1"/>
    <w:link w:val="338"/>
    <w:qFormat/>
    <w:uiPriority w:val="0"/>
    <w:pPr>
      <w:widowControl w:val="0"/>
      <w:kinsoku w:val="0"/>
      <w:overflowPunct w:val="0"/>
      <w:autoSpaceDE w:val="0"/>
      <w:autoSpaceDN w:val="0"/>
      <w:spacing w:line="0" w:lineRule="atLeast"/>
      <w:jc w:val="distribute"/>
    </w:pPr>
    <w:rPr>
      <w:rFonts w:ascii="黑体" w:hAnsi="黑体" w:eastAsia="黑体" w:cs="Times New Roman"/>
      <w:b/>
      <w:bCs/>
      <w:w w:val="135"/>
      <w:sz w:val="52"/>
      <w:lang w:val="en-US" w:eastAsia="zh-CN" w:bidi="ar-SA"/>
    </w:rPr>
  </w:style>
  <w:style w:type="character" w:customStyle="1" w:styleId="338">
    <w:name w:val="标准称谓DB Char"/>
    <w:basedOn w:val="231"/>
    <w:link w:val="337"/>
    <w:qFormat/>
    <w:uiPriority w:val="0"/>
    <w:rPr>
      <w:rFonts w:ascii="黑体" w:hAnsi="黑体" w:eastAsia="黑体"/>
      <w:b/>
      <w:bCs/>
      <w:w w:val="135"/>
      <w:sz w:val="52"/>
    </w:rPr>
  </w:style>
  <w:style w:type="paragraph" w:customStyle="1" w:styleId="339">
    <w:name w:val="标准称谓QB"/>
    <w:next w:val="1"/>
    <w:link w:val="340"/>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40">
    <w:name w:val="标准称谓QB Char"/>
    <w:basedOn w:val="231"/>
    <w:link w:val="339"/>
    <w:qFormat/>
    <w:uiPriority w:val="0"/>
    <w:rPr>
      <w:rFonts w:ascii="Arial Black" w:hAnsi="Arial Black" w:eastAsia="黑体"/>
      <w:bCs/>
      <w:w w:val="135"/>
      <w:sz w:val="44"/>
    </w:rPr>
  </w:style>
  <w:style w:type="paragraph" w:customStyle="1" w:styleId="341">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qFormat/>
    <w:uiPriority w:val="0"/>
    <w:pPr>
      <w:spacing w:line="360" w:lineRule="exact"/>
      <w:jc w:val="center"/>
    </w:pPr>
    <w:rPr>
      <w:rFonts w:ascii="宋体" w:hAnsi="宋体" w:eastAsia="宋体" w:cs="Times New Roman"/>
      <w:b/>
      <w:sz w:val="36"/>
      <w:lang w:val="en-US" w:eastAsia="zh-CN" w:bidi="ar-SA"/>
    </w:rPr>
  </w:style>
  <w:style w:type="paragraph" w:customStyle="1" w:styleId="343">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4">
    <w:name w:val="标准标志DB"/>
    <w:next w:val="1"/>
    <w:qFormat/>
    <w:uiPriority w:val="0"/>
    <w:pPr>
      <w:shd w:val="solid" w:color="FFFFFF" w:fill="FFFFFF"/>
      <w:spacing w:line="0" w:lineRule="atLeast"/>
      <w:jc w:val="right"/>
    </w:pPr>
    <w:rPr>
      <w:rFonts w:ascii="Times New Roman" w:hAnsi="Times New Roman" w:eastAsia="Times New Roman" w:cs="Times New Roman"/>
      <w:b/>
      <w:w w:val="110"/>
      <w:kern w:val="2"/>
      <w:sz w:val="96"/>
      <w:lang w:val="en-US" w:eastAsia="zh-CN" w:bidi="ar-SA"/>
    </w:rPr>
  </w:style>
  <w:style w:type="paragraph" w:customStyle="1" w:styleId="345">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6">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引言二级条标题"/>
    <w:basedOn w:val="306"/>
    <w:next w:val="258"/>
    <w:qFormat/>
    <w:uiPriority w:val="0"/>
    <w:pPr>
      <w:numPr>
        <w:ilvl w:val="0"/>
        <w:numId w:val="13"/>
      </w:numPr>
      <w:spacing w:before="156" w:after="156"/>
    </w:pPr>
    <w:rPr>
      <w:rFonts w:ascii="黑体"/>
    </w:rPr>
  </w:style>
  <w:style w:type="paragraph" w:customStyle="1" w:styleId="348">
    <w:name w:val="示例X"/>
    <w:basedOn w:val="258"/>
    <w:next w:val="293"/>
    <w:qFormat/>
    <w:uiPriority w:val="0"/>
    <w:rPr>
      <w:sz w:val="18"/>
    </w:rPr>
  </w:style>
  <w:style w:type="paragraph" w:customStyle="1" w:styleId="349">
    <w:name w:val="附录表标号"/>
    <w:basedOn w:val="1"/>
    <w:next w:val="258"/>
    <w:qFormat/>
    <w:uiPriority w:val="0"/>
    <w:pPr>
      <w:numPr>
        <w:ilvl w:val="0"/>
        <w:numId w:val="12"/>
      </w:numPr>
      <w:snapToGrid w:val="0"/>
      <w:spacing w:line="14" w:lineRule="exact"/>
      <w:jc w:val="center"/>
    </w:pPr>
    <w:rPr>
      <w:color w:val="FFFFFF"/>
    </w:rPr>
  </w:style>
  <w:style w:type="paragraph" w:customStyle="1" w:styleId="350">
    <w:name w:val="附录图标号"/>
    <w:basedOn w:val="1"/>
    <w:next w:val="258"/>
    <w:qFormat/>
    <w:uiPriority w:val="0"/>
    <w:pPr>
      <w:numPr>
        <w:ilvl w:val="0"/>
        <w:numId w:val="14"/>
      </w:numPr>
      <w:snapToGrid w:val="0"/>
      <w:spacing w:line="14" w:lineRule="exact"/>
      <w:jc w:val="center"/>
    </w:pPr>
    <w:rPr>
      <w:color w:val="FFFFFF"/>
    </w:rPr>
  </w:style>
  <w:style w:type="paragraph" w:customStyle="1" w:styleId="351">
    <w:name w:val="重要提示"/>
    <w:basedOn w:val="258"/>
    <w:next w:val="258"/>
    <w:qFormat/>
    <w:uiPriority w:val="0"/>
    <w:rPr>
      <w:rFonts w:eastAsia="黑体"/>
    </w:rPr>
  </w:style>
  <w:style w:type="paragraph" w:customStyle="1" w:styleId="35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3">
    <w:name w:val="TOC 标题1"/>
    <w:basedOn w:val="3"/>
    <w:next w:val="1"/>
    <w:unhideWhenUsed/>
    <w:qFormat/>
    <w:uiPriority w:val="39"/>
    <w:pPr>
      <w:outlineLvl w:val="9"/>
    </w:pPr>
  </w:style>
  <w:style w:type="character" w:customStyle="1" w:styleId="354">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5">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6">
    <w:name w:val="称呼 Char"/>
    <w:basedOn w:val="231"/>
    <w:link w:val="36"/>
    <w:semiHidden/>
    <w:qFormat/>
    <w:uiPriority w:val="99"/>
    <w:rPr>
      <w:kern w:val="2"/>
      <w:sz w:val="21"/>
      <w:szCs w:val="24"/>
    </w:rPr>
  </w:style>
  <w:style w:type="character" w:customStyle="1" w:styleId="357">
    <w:name w:val="纯文本 Char"/>
    <w:basedOn w:val="231"/>
    <w:link w:val="49"/>
    <w:qFormat/>
    <w:uiPriority w:val="0"/>
    <w:rPr>
      <w:rFonts w:ascii="宋体" w:hAnsi="Courier New" w:cs="Courier New"/>
      <w:kern w:val="2"/>
      <w:sz w:val="21"/>
      <w:szCs w:val="21"/>
    </w:rPr>
  </w:style>
  <w:style w:type="character" w:customStyle="1" w:styleId="358">
    <w:name w:val="电子邮件签名 Char"/>
    <w:basedOn w:val="231"/>
    <w:link w:val="25"/>
    <w:semiHidden/>
    <w:qFormat/>
    <w:uiPriority w:val="99"/>
    <w:rPr>
      <w:kern w:val="2"/>
      <w:sz w:val="21"/>
      <w:szCs w:val="24"/>
    </w:rPr>
  </w:style>
  <w:style w:type="character" w:customStyle="1" w:styleId="359">
    <w:name w:val="副标题 Char"/>
    <w:basedOn w:val="231"/>
    <w:link w:val="66"/>
    <w:qFormat/>
    <w:uiPriority w:val="11"/>
    <w:rPr>
      <w:rFonts w:asciiTheme="majorHAnsi" w:hAnsiTheme="majorHAnsi" w:cstheme="majorBidi"/>
      <w:b/>
      <w:bCs/>
      <w:kern w:val="28"/>
      <w:sz w:val="32"/>
      <w:szCs w:val="32"/>
    </w:rPr>
  </w:style>
  <w:style w:type="character" w:customStyle="1" w:styleId="360">
    <w:name w:val="宏文本 Char"/>
    <w:basedOn w:val="231"/>
    <w:link w:val="2"/>
    <w:semiHidden/>
    <w:qFormat/>
    <w:uiPriority w:val="99"/>
    <w:rPr>
      <w:rFonts w:ascii="Courier New" w:hAnsi="Courier New" w:cs="Courier New"/>
      <w:kern w:val="2"/>
      <w:sz w:val="24"/>
      <w:szCs w:val="24"/>
    </w:rPr>
  </w:style>
  <w:style w:type="character" w:customStyle="1" w:styleId="361">
    <w:name w:val="结束语 Char"/>
    <w:basedOn w:val="231"/>
    <w:link w:val="38"/>
    <w:semiHidden/>
    <w:qFormat/>
    <w:uiPriority w:val="99"/>
    <w:rPr>
      <w:kern w:val="2"/>
      <w:sz w:val="21"/>
      <w:szCs w:val="24"/>
    </w:rPr>
  </w:style>
  <w:style w:type="paragraph" w:styleId="362">
    <w:name w:val="List Paragraph"/>
    <w:basedOn w:val="1"/>
    <w:qFormat/>
    <w:uiPriority w:val="34"/>
    <w:pPr>
      <w:ind w:firstLine="420" w:firstLineChars="200"/>
    </w:pPr>
  </w:style>
  <w:style w:type="character" w:customStyle="1" w:styleId="363">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4">
    <w:name w:val="明显强调1"/>
    <w:basedOn w:val="231"/>
    <w:qFormat/>
    <w:uiPriority w:val="21"/>
    <w:rPr>
      <w:i/>
      <w:iCs/>
      <w:color w:val="5B9BD5" w:themeColor="accent1"/>
      <w14:textFill>
        <w14:solidFill>
          <w14:schemeClr w14:val="accent1"/>
        </w14:solidFill>
      </w14:textFill>
    </w:rPr>
  </w:style>
  <w:style w:type="paragraph" w:styleId="365">
    <w:name w:val="Intense Quote"/>
    <w:basedOn w:val="1"/>
    <w:next w:val="1"/>
    <w:link w:val="366"/>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6">
    <w:name w:val="明显引用 Char"/>
    <w:basedOn w:val="231"/>
    <w:link w:val="365"/>
    <w:qFormat/>
    <w:uiPriority w:val="30"/>
    <w:rPr>
      <w:i/>
      <w:iCs/>
      <w:color w:val="5B9BD5" w:themeColor="accent1"/>
      <w:kern w:val="2"/>
      <w:sz w:val="21"/>
      <w:szCs w:val="24"/>
      <w14:textFill>
        <w14:solidFill>
          <w14:schemeClr w14:val="accent1"/>
        </w14:solidFill>
      </w14:textFill>
    </w:rPr>
  </w:style>
  <w:style w:type="character" w:customStyle="1" w:styleId="367">
    <w:name w:val="批注框文本 Char"/>
    <w:basedOn w:val="231"/>
    <w:link w:val="58"/>
    <w:qFormat/>
    <w:uiPriority w:val="99"/>
    <w:rPr>
      <w:kern w:val="2"/>
      <w:sz w:val="18"/>
      <w:szCs w:val="18"/>
    </w:rPr>
  </w:style>
  <w:style w:type="character" w:customStyle="1" w:styleId="368">
    <w:name w:val="批注文字 Char"/>
    <w:basedOn w:val="231"/>
    <w:link w:val="34"/>
    <w:qFormat/>
    <w:uiPriority w:val="0"/>
    <w:rPr>
      <w:kern w:val="2"/>
      <w:sz w:val="21"/>
      <w:szCs w:val="24"/>
    </w:rPr>
  </w:style>
  <w:style w:type="character" w:customStyle="1" w:styleId="369">
    <w:name w:val="批注主题 Char"/>
    <w:basedOn w:val="368"/>
    <w:link w:val="85"/>
    <w:qFormat/>
    <w:uiPriority w:val="99"/>
    <w:rPr>
      <w:b/>
      <w:bCs/>
      <w:kern w:val="2"/>
      <w:sz w:val="21"/>
      <w:szCs w:val="24"/>
    </w:rPr>
  </w:style>
  <w:style w:type="character" w:customStyle="1" w:styleId="370">
    <w:name w:val="签名 Char"/>
    <w:basedOn w:val="231"/>
    <w:link w:val="62"/>
    <w:semiHidden/>
    <w:qFormat/>
    <w:uiPriority w:val="99"/>
    <w:rPr>
      <w:kern w:val="2"/>
      <w:sz w:val="21"/>
      <w:szCs w:val="24"/>
    </w:rPr>
  </w:style>
  <w:style w:type="table" w:customStyle="1" w:styleId="371">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9">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1">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2">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3">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4">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5">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6">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7">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8">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9">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0">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1">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2">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3">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4">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5">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6">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7">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8">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9">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7">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8">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9">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0">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1">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2">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3">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0">
    <w:name w:val="日期 Char"/>
    <w:basedOn w:val="231"/>
    <w:link w:val="54"/>
    <w:qFormat/>
    <w:uiPriority w:val="99"/>
    <w:rPr>
      <w:kern w:val="2"/>
      <w:sz w:val="21"/>
      <w:szCs w:val="24"/>
    </w:rPr>
  </w:style>
  <w:style w:type="character" w:customStyle="1" w:styleId="421">
    <w:name w:val="书籍标题1"/>
    <w:basedOn w:val="231"/>
    <w:qFormat/>
    <w:uiPriority w:val="33"/>
    <w:rPr>
      <w:b/>
      <w:bCs/>
      <w:i/>
      <w:iCs/>
      <w:spacing w:val="5"/>
    </w:rPr>
  </w:style>
  <w:style w:type="paragraph" w:customStyle="1" w:styleId="422">
    <w:name w:val="书目1"/>
    <w:basedOn w:val="1"/>
    <w:next w:val="1"/>
    <w:semiHidden/>
    <w:unhideWhenUsed/>
    <w:qFormat/>
    <w:uiPriority w:val="37"/>
  </w:style>
  <w:style w:type="table" w:customStyle="1" w:styleId="423">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4">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5">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6">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7">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8">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9">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0">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1">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2">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3">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4">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5">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6">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7">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8">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9">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0">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1">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2">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3">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4">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5">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6">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7">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8">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9">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0">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1">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2">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3">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4">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5">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6">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7">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8">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9">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0">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1">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2">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3">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4">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5">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6">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7">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8">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9">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0">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1">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2">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3">
    <w:name w:val="尾注文本 Char"/>
    <w:basedOn w:val="231"/>
    <w:link w:val="56"/>
    <w:semiHidden/>
    <w:qFormat/>
    <w:uiPriority w:val="99"/>
    <w:rPr>
      <w:kern w:val="2"/>
      <w:sz w:val="21"/>
      <w:szCs w:val="24"/>
    </w:rPr>
  </w:style>
  <w:style w:type="character" w:customStyle="1" w:styleId="474">
    <w:name w:val="文档结构图 Char"/>
    <w:basedOn w:val="231"/>
    <w:link w:val="32"/>
    <w:qFormat/>
    <w:uiPriority w:val="0"/>
    <w:rPr>
      <w:rFonts w:ascii="Microsoft YaHei UI" w:eastAsia="Microsoft YaHei UI"/>
      <w:kern w:val="2"/>
      <w:sz w:val="18"/>
      <w:szCs w:val="18"/>
    </w:rPr>
  </w:style>
  <w:style w:type="table" w:customStyle="1" w:styleId="475">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7">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8">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9">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1">
    <w:name w:val="信息标题 Char"/>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82">
    <w:name w:val="Quote"/>
    <w:basedOn w:val="1"/>
    <w:next w:val="1"/>
    <w:link w:val="48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3">
    <w:name w:val="引用 Char"/>
    <w:basedOn w:val="231"/>
    <w:link w:val="482"/>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4">
    <w:name w:val="Placeholder Text"/>
    <w:basedOn w:val="231"/>
    <w:semiHidden/>
    <w:qFormat/>
    <w:uiPriority w:val="99"/>
    <w:rPr>
      <w:color w:val="808080"/>
    </w:rPr>
  </w:style>
  <w:style w:type="character" w:customStyle="1" w:styleId="485">
    <w:name w:val="正文首行缩进 Char"/>
    <w:basedOn w:val="333"/>
    <w:link w:val="86"/>
    <w:qFormat/>
    <w:uiPriority w:val="0"/>
    <w:rPr>
      <w:kern w:val="2"/>
      <w:sz w:val="21"/>
      <w:szCs w:val="24"/>
    </w:rPr>
  </w:style>
  <w:style w:type="character" w:customStyle="1" w:styleId="486">
    <w:name w:val="正文文本缩进 Char"/>
    <w:basedOn w:val="231"/>
    <w:link w:val="41"/>
    <w:qFormat/>
    <w:uiPriority w:val="0"/>
    <w:rPr>
      <w:kern w:val="2"/>
      <w:sz w:val="21"/>
      <w:szCs w:val="24"/>
    </w:rPr>
  </w:style>
  <w:style w:type="character" w:customStyle="1" w:styleId="487">
    <w:name w:val="正文首行缩进 2 Char"/>
    <w:basedOn w:val="486"/>
    <w:link w:val="87"/>
    <w:semiHidden/>
    <w:qFormat/>
    <w:uiPriority w:val="99"/>
    <w:rPr>
      <w:kern w:val="2"/>
      <w:sz w:val="21"/>
      <w:szCs w:val="24"/>
    </w:rPr>
  </w:style>
  <w:style w:type="character" w:customStyle="1" w:styleId="488">
    <w:name w:val="正文文本 2 Char"/>
    <w:basedOn w:val="231"/>
    <w:link w:val="76"/>
    <w:qFormat/>
    <w:uiPriority w:val="0"/>
    <w:rPr>
      <w:kern w:val="2"/>
      <w:sz w:val="21"/>
      <w:szCs w:val="24"/>
    </w:rPr>
  </w:style>
  <w:style w:type="character" w:customStyle="1" w:styleId="489">
    <w:name w:val="正文文本 3 Char"/>
    <w:basedOn w:val="231"/>
    <w:link w:val="37"/>
    <w:semiHidden/>
    <w:qFormat/>
    <w:uiPriority w:val="99"/>
    <w:rPr>
      <w:kern w:val="2"/>
      <w:sz w:val="16"/>
      <w:szCs w:val="16"/>
    </w:rPr>
  </w:style>
  <w:style w:type="character" w:customStyle="1" w:styleId="490">
    <w:name w:val="正文文本缩进 2 Char"/>
    <w:basedOn w:val="231"/>
    <w:link w:val="55"/>
    <w:qFormat/>
    <w:uiPriority w:val="0"/>
    <w:rPr>
      <w:kern w:val="2"/>
      <w:sz w:val="21"/>
      <w:szCs w:val="24"/>
    </w:rPr>
  </w:style>
  <w:style w:type="character" w:customStyle="1" w:styleId="491">
    <w:name w:val="正文文本缩进 3 Char"/>
    <w:basedOn w:val="231"/>
    <w:link w:val="71"/>
    <w:qFormat/>
    <w:uiPriority w:val="0"/>
    <w:rPr>
      <w:kern w:val="2"/>
      <w:sz w:val="16"/>
      <w:szCs w:val="16"/>
    </w:rPr>
  </w:style>
  <w:style w:type="character" w:customStyle="1" w:styleId="492">
    <w:name w:val="注释标题 Char"/>
    <w:basedOn w:val="231"/>
    <w:link w:val="22"/>
    <w:semiHidden/>
    <w:qFormat/>
    <w:uiPriority w:val="99"/>
    <w:rPr>
      <w:kern w:val="2"/>
      <w:sz w:val="21"/>
      <w:szCs w:val="24"/>
    </w:rPr>
  </w:style>
  <w:style w:type="paragraph" w:customStyle="1" w:styleId="493">
    <w:name w:val="附录无标题章"/>
    <w:basedOn w:val="276"/>
    <w:qFormat/>
    <w:uiPriority w:val="0"/>
    <w:pPr>
      <w:spacing w:before="0" w:beforeLines="0" w:after="0" w:afterLines="0"/>
      <w:outlineLvl w:val="9"/>
    </w:pPr>
    <w:rPr>
      <w:rFonts w:asciiTheme="majorEastAsia" w:eastAsiaTheme="majorEastAsia"/>
    </w:rPr>
  </w:style>
  <w:style w:type="paragraph" w:customStyle="1" w:styleId="494">
    <w:name w:val="附录一级无标题条"/>
    <w:basedOn w:val="277"/>
    <w:qFormat/>
    <w:uiPriority w:val="0"/>
    <w:pPr>
      <w:spacing w:before="0" w:beforeLines="0" w:after="0" w:afterLines="0"/>
      <w:outlineLvl w:val="9"/>
    </w:pPr>
    <w:rPr>
      <w:rFonts w:asciiTheme="majorEastAsia" w:eastAsiaTheme="majorEastAsia"/>
    </w:rPr>
  </w:style>
  <w:style w:type="paragraph" w:customStyle="1" w:styleId="495">
    <w:name w:val="附录二级无标题条"/>
    <w:basedOn w:val="278"/>
    <w:qFormat/>
    <w:uiPriority w:val="0"/>
    <w:pPr>
      <w:spacing w:before="0" w:beforeLines="0" w:after="0" w:afterLines="0"/>
    </w:pPr>
    <w:rPr>
      <w:rFonts w:asciiTheme="majorEastAsia" w:eastAsiaTheme="majorEastAsia"/>
    </w:rPr>
  </w:style>
  <w:style w:type="paragraph" w:customStyle="1" w:styleId="496">
    <w:name w:val="附录三级无标题条"/>
    <w:basedOn w:val="279"/>
    <w:qFormat/>
    <w:uiPriority w:val="0"/>
    <w:pPr>
      <w:spacing w:before="0" w:beforeLines="0" w:after="0" w:afterLines="0"/>
    </w:pPr>
    <w:rPr>
      <w:rFonts w:asciiTheme="majorEastAsia" w:eastAsiaTheme="majorEastAsia"/>
    </w:rPr>
  </w:style>
  <w:style w:type="paragraph" w:customStyle="1" w:styleId="497">
    <w:name w:val="附录四级无标题条"/>
    <w:basedOn w:val="280"/>
    <w:qFormat/>
    <w:uiPriority w:val="0"/>
    <w:pPr>
      <w:spacing w:before="0" w:beforeLines="0" w:after="0" w:afterLines="0"/>
    </w:pPr>
    <w:rPr>
      <w:rFonts w:asciiTheme="majorEastAsia" w:eastAsiaTheme="majorEastAsia"/>
    </w:rPr>
  </w:style>
  <w:style w:type="paragraph" w:customStyle="1" w:styleId="498">
    <w:name w:val="标准标志TB"/>
    <w:basedOn w:val="1"/>
    <w:qFormat/>
    <w:uiPriority w:val="0"/>
    <w:pPr>
      <w:widowControl/>
      <w:shd w:val="solid" w:color="FFFFFF" w:fill="FFFFFF"/>
      <w:spacing w:line="0" w:lineRule="atLeast"/>
      <w:jc w:val="right"/>
    </w:pPr>
    <w:rPr>
      <w:rFonts w:ascii="Arial Black" w:hAnsi="Britannic Bold" w:eastAsia="Arial Unicode MS"/>
      <w:b/>
      <w:w w:val="110"/>
      <w:sz w:val="96"/>
      <w:szCs w:val="20"/>
    </w:rPr>
  </w:style>
  <w:style w:type="paragraph" w:customStyle="1" w:styleId="499">
    <w:name w:val="标准称谓TB"/>
    <w:basedOn w:val="1"/>
    <w:qFormat/>
    <w:uiPriority w:val="0"/>
    <w:pPr>
      <w:kinsoku w:val="0"/>
      <w:overflowPunct w:val="0"/>
      <w:autoSpaceDE w:val="0"/>
      <w:autoSpaceDN w:val="0"/>
      <w:spacing w:line="0" w:lineRule="atLeast"/>
      <w:jc w:val="center"/>
    </w:pPr>
    <w:rPr>
      <w:rFonts w:ascii="Arial Black" w:hAnsi="Arial Black" w:eastAsia="黑体"/>
      <w:bCs/>
      <w:w w:val="135"/>
      <w:kern w:val="0"/>
      <w:sz w:val="44"/>
      <w:szCs w:val="20"/>
    </w:rPr>
  </w:style>
  <w:style w:type="paragraph" w:customStyle="1" w:styleId="500">
    <w:name w:val="发布GB"/>
    <w:basedOn w:val="40"/>
    <w:qFormat/>
    <w:uiPriority w:val="0"/>
    <w:pPr>
      <w:spacing w:after="0" w:line="280" w:lineRule="exact"/>
      <w:ind w:left="284"/>
    </w:pPr>
    <w:rPr>
      <w:rFonts w:ascii="黑体" w:eastAsia="黑体"/>
      <w:kern w:val="3"/>
      <w:sz w:val="28"/>
    </w:rPr>
  </w:style>
  <w:style w:type="paragraph" w:customStyle="1" w:styleId="501">
    <w:name w:val="发布DB"/>
    <w:basedOn w:val="500"/>
    <w:qFormat/>
    <w:uiPriority w:val="0"/>
    <w:pPr>
      <w:ind w:left="567"/>
    </w:pPr>
  </w:style>
  <w:style w:type="paragraph" w:customStyle="1" w:styleId="502">
    <w:name w:val="发布HB"/>
    <w:basedOn w:val="500"/>
    <w:qFormat/>
    <w:uiPriority w:val="0"/>
    <w:pPr>
      <w:ind w:left="567"/>
    </w:pPr>
  </w:style>
  <w:style w:type="paragraph" w:customStyle="1" w:styleId="503">
    <w:name w:val="发布QB"/>
    <w:basedOn w:val="500"/>
    <w:qFormat/>
    <w:uiPriority w:val="0"/>
    <w:pPr>
      <w:ind w:left="567"/>
    </w:pPr>
  </w:style>
  <w:style w:type="paragraph" w:customStyle="1" w:styleId="504">
    <w:name w:val="发布TB"/>
    <w:basedOn w:val="500"/>
    <w:qFormat/>
    <w:uiPriority w:val="0"/>
    <w:pPr>
      <w:ind w:left="567"/>
    </w:pPr>
  </w:style>
  <w:style w:type="paragraph" w:customStyle="1" w:styleId="505">
    <w:name w:val="发布部门TB"/>
    <w:basedOn w:val="1"/>
    <w:qFormat/>
    <w:uiPriority w:val="0"/>
    <w:pPr>
      <w:widowControl/>
      <w:spacing w:line="360" w:lineRule="exact"/>
      <w:jc w:val="center"/>
    </w:pPr>
    <w:rPr>
      <w:rFonts w:ascii="宋体"/>
      <w:b/>
      <w:kern w:val="0"/>
      <w:sz w:val="36"/>
      <w:szCs w:val="20"/>
    </w:rPr>
  </w:style>
  <w:style w:type="paragraph" w:customStyle="1" w:styleId="506">
    <w:name w:val="标准标志CEC"/>
    <w:basedOn w:val="1"/>
    <w:qFormat/>
    <w:uiPriority w:val="0"/>
    <w:pPr>
      <w:jc w:val="right"/>
    </w:pPr>
    <w:rPr>
      <w:rFonts w:eastAsia="Times New Roman"/>
      <w:b/>
      <w:sz w:val="96"/>
    </w:rPr>
  </w:style>
  <w:style w:type="paragraph" w:customStyle="1" w:styleId="507">
    <w:name w:val="标准称谓CEC"/>
    <w:basedOn w:val="1"/>
    <w:qFormat/>
    <w:uiPriority w:val="0"/>
    <w:pPr>
      <w:jc w:val="center"/>
    </w:pPr>
    <w:rPr>
      <w:rFonts w:eastAsia="黑体"/>
      <w:b/>
      <w:w w:val="132"/>
      <w:kern w:val="0"/>
      <w:sz w:val="52"/>
    </w:rPr>
  </w:style>
  <w:style w:type="paragraph" w:customStyle="1" w:styleId="508">
    <w:name w:val="发布CEC"/>
    <w:basedOn w:val="500"/>
    <w:qFormat/>
    <w:uiPriority w:val="0"/>
  </w:style>
  <w:style w:type="paragraph" w:customStyle="1" w:styleId="509">
    <w:name w:val="发布部门CEC"/>
    <w:basedOn w:val="1"/>
    <w:qFormat/>
    <w:uiPriority w:val="0"/>
    <w:pPr>
      <w:snapToGrid w:val="0"/>
    </w:pPr>
    <w:rPr>
      <w:b/>
      <w:w w:val="135"/>
      <w:kern w:val="0"/>
      <w:sz w:val="36"/>
    </w:rPr>
  </w:style>
  <w:style w:type="paragraph" w:customStyle="1" w:styleId="510">
    <w:name w:val="标准正文公式"/>
    <w:basedOn w:val="1"/>
    <w:next w:val="1"/>
    <w:qFormat/>
    <w:uiPriority w:val="0"/>
    <w:pPr>
      <w:tabs>
        <w:tab w:val="center" w:pos="4678"/>
        <w:tab w:val="right" w:leader="middleDot" w:pos="9356"/>
      </w:tabs>
      <w:adjustRightInd w:val="0"/>
    </w:pPr>
    <w:rPr>
      <w:rFonts w:ascii="宋体" w:hAnsi="宋体"/>
      <w:szCs w:val="21"/>
    </w:rPr>
  </w:style>
  <w:style w:type="paragraph" w:customStyle="1" w:styleId="511">
    <w:name w:val="附录公式标号"/>
    <w:basedOn w:val="362"/>
    <w:qFormat/>
    <w:uiPriority w:val="0"/>
    <w:pPr>
      <w:numPr>
        <w:ilvl w:val="0"/>
        <w:numId w:val="26"/>
      </w:numPr>
      <w:snapToGrid w:val="0"/>
      <w:spacing w:line="14" w:lineRule="atLeast"/>
      <w:ind w:firstLineChars="0"/>
    </w:pPr>
    <w:rPr>
      <w:color w:val="FFFFFF" w:themeColor="background1"/>
      <w:sz w:val="2"/>
      <w14:textFill>
        <w14:solidFill>
          <w14:schemeClr w14:val="bg1"/>
        </w14:solidFill>
      </w14:textFill>
    </w:rPr>
  </w:style>
  <w:style w:type="paragraph" w:customStyle="1" w:styleId="512">
    <w:name w:val="附录公式编号"/>
    <w:basedOn w:val="40"/>
    <w:qFormat/>
    <w:uiPriority w:val="0"/>
    <w:pPr>
      <w:numPr>
        <w:ilvl w:val="1"/>
        <w:numId w:val="26"/>
      </w:numPr>
    </w:pPr>
  </w:style>
  <w:style w:type="character" w:customStyle="1" w:styleId="513">
    <w:name w:val="index-module_accountauthentication_3bwix"/>
    <w:basedOn w:val="231"/>
    <w:qFormat/>
    <w:uiPriority w:val="0"/>
  </w:style>
  <w:style w:type="character" w:customStyle="1" w:styleId="514">
    <w:name w:val="fontstyle01"/>
    <w:qFormat/>
    <w:uiPriority w:val="0"/>
    <w:rPr>
      <w:rFonts w:hint="default" w:ascii="Times New Roman" w:hAnsi="Times New Roman" w:cs="Times New Roman"/>
      <w:b/>
      <w:bCs/>
      <w:color w:val="000000"/>
      <w:sz w:val="20"/>
      <w:szCs w:val="20"/>
    </w:rPr>
  </w:style>
  <w:style w:type="character" w:customStyle="1" w:styleId="515">
    <w:name w:val="fontstyle21"/>
    <w:qFormat/>
    <w:uiPriority w:val="0"/>
    <w:rPr>
      <w:rFonts w:hint="eastAsia" w:ascii="宋体" w:hAnsi="宋体" w:eastAsia="宋体"/>
      <w:color w:val="000000"/>
      <w:sz w:val="20"/>
      <w:szCs w:val="20"/>
    </w:rPr>
  </w:style>
  <w:style w:type="character" w:customStyle="1" w:styleId="516">
    <w:name w:val="fontstyle31"/>
    <w:qFormat/>
    <w:uiPriority w:val="0"/>
    <w:rPr>
      <w:rFonts w:hint="default" w:ascii="Times New Roman" w:hAnsi="Times New Roman" w:cs="Times New Roman"/>
      <w:color w:val="000000"/>
      <w:sz w:val="20"/>
      <w:szCs w:val="20"/>
    </w:rPr>
  </w:style>
  <w:style w:type="character" w:customStyle="1" w:styleId="517">
    <w:name w:val="fontstyle51"/>
    <w:qFormat/>
    <w:uiPriority w:val="0"/>
    <w:rPr>
      <w:rFonts w:hint="default" w:ascii="Times New Roman" w:hAnsi="Times New Roman" w:cs="Times New Roman"/>
      <w:color w:val="000000"/>
      <w:sz w:val="56"/>
      <w:szCs w:val="56"/>
    </w:rPr>
  </w:style>
  <w:style w:type="character" w:customStyle="1" w:styleId="518">
    <w:name w:val="fontstyle61"/>
    <w:qFormat/>
    <w:uiPriority w:val="0"/>
    <w:rPr>
      <w:rFonts w:hint="eastAsia" w:ascii="仿宋" w:hAnsi="仿宋" w:eastAsia="仿宋"/>
      <w:color w:val="000000"/>
      <w:sz w:val="20"/>
      <w:szCs w:val="20"/>
    </w:rPr>
  </w:style>
  <w:style w:type="character" w:customStyle="1" w:styleId="519">
    <w:name w:val="fontstyle71"/>
    <w:qFormat/>
    <w:uiPriority w:val="0"/>
    <w:rPr>
      <w:rFonts w:hint="eastAsia" w:ascii="黑体" w:hAnsi="黑体" w:eastAsia="黑体"/>
      <w:color w:val="000000"/>
      <w:sz w:val="20"/>
      <w:szCs w:val="20"/>
    </w:rPr>
  </w:style>
  <w:style w:type="character" w:customStyle="1" w:styleId="520">
    <w:name w:val="页眉 Char"/>
    <w:link w:val="61"/>
    <w:qFormat/>
    <w:uiPriority w:val="0"/>
    <w:rPr>
      <w:kern w:val="2"/>
      <w:sz w:val="18"/>
      <w:szCs w:val="18"/>
    </w:rPr>
  </w:style>
  <w:style w:type="character" w:customStyle="1" w:styleId="521">
    <w:name w:val="页脚 Char"/>
    <w:link w:val="59"/>
    <w:qFormat/>
    <w:uiPriority w:val="99"/>
    <w:rPr>
      <w:kern w:val="2"/>
      <w:sz w:val="18"/>
      <w:szCs w:val="18"/>
    </w:rPr>
  </w:style>
  <w:style w:type="paragraph" w:customStyle="1" w:styleId="52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523">
    <w:name w:val="fontstyle41"/>
    <w:qFormat/>
    <w:uiPriority w:val="0"/>
    <w:rPr>
      <w:rFonts w:hint="eastAsia" w:ascii="仿宋" w:hAnsi="仿宋" w:eastAsia="仿宋"/>
      <w:color w:val="000000"/>
      <w:sz w:val="20"/>
      <w:szCs w:val="20"/>
    </w:rPr>
  </w:style>
  <w:style w:type="character" w:customStyle="1" w:styleId="524">
    <w:name w:val="标题 1 Char"/>
    <w:link w:val="3"/>
    <w:qFormat/>
    <w:uiPriority w:val="0"/>
    <w:rPr>
      <w:b/>
      <w:bCs/>
      <w:kern w:val="44"/>
      <w:sz w:val="44"/>
      <w:szCs w:val="44"/>
    </w:rPr>
  </w:style>
  <w:style w:type="paragraph" w:customStyle="1" w:styleId="525">
    <w:name w:val="TOC 标题2"/>
    <w:basedOn w:val="3"/>
    <w:next w:val="1"/>
    <w:unhideWhenUsed/>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26">
    <w:name w:val="不明显强调2"/>
    <w:qFormat/>
    <w:uiPriority w:val="19"/>
    <w:rPr>
      <w:i/>
      <w:iCs/>
      <w:color w:val="808080"/>
    </w:rPr>
  </w:style>
  <w:style w:type="paragraph" w:customStyle="1" w:styleId="527">
    <w:name w:val="表格"/>
    <w:basedOn w:val="1"/>
    <w:qFormat/>
    <w:uiPriority w:val="0"/>
    <w:pPr>
      <w:overflowPunct w:val="0"/>
      <w:autoSpaceDE w:val="0"/>
      <w:autoSpaceDN w:val="0"/>
      <w:jc w:val="center"/>
    </w:pPr>
    <w:rPr>
      <w:szCs w:val="18"/>
    </w:rPr>
  </w:style>
  <w:style w:type="paragraph" w:customStyle="1" w:styleId="528">
    <w:name w:val="表头"/>
    <w:basedOn w:val="1"/>
    <w:link w:val="642"/>
    <w:qFormat/>
    <w:uiPriority w:val="0"/>
    <w:pPr>
      <w:overflowPunct w:val="0"/>
      <w:autoSpaceDE w:val="0"/>
      <w:autoSpaceDN w:val="0"/>
      <w:spacing w:line="360" w:lineRule="auto"/>
      <w:jc w:val="center"/>
    </w:pPr>
    <w:rPr>
      <w:rFonts w:eastAsia="黑体"/>
      <w:b/>
      <w:kern w:val="0"/>
      <w:sz w:val="20"/>
      <w:szCs w:val="18"/>
      <w:lang w:val="zh-CN"/>
    </w:rPr>
  </w:style>
  <w:style w:type="character" w:customStyle="1" w:styleId="529">
    <w:name w:val="标题 3 Char"/>
    <w:link w:val="5"/>
    <w:qFormat/>
    <w:uiPriority w:val="0"/>
    <w:rPr>
      <w:b/>
      <w:bCs/>
      <w:kern w:val="2"/>
      <w:sz w:val="32"/>
      <w:szCs w:val="32"/>
    </w:rPr>
  </w:style>
  <w:style w:type="paragraph" w:customStyle="1" w:styleId="530">
    <w:name w:val="条"/>
    <w:basedOn w:val="1"/>
    <w:next w:val="1"/>
    <w:link w:val="531"/>
    <w:qFormat/>
    <w:uiPriority w:val="0"/>
    <w:pPr>
      <w:numPr>
        <w:ilvl w:val="0"/>
        <w:numId w:val="27"/>
      </w:numPr>
      <w:adjustRightInd w:val="0"/>
      <w:snapToGrid w:val="0"/>
      <w:spacing w:line="360" w:lineRule="auto"/>
      <w:ind w:firstLine="0"/>
    </w:pPr>
    <w:rPr>
      <w:kern w:val="0"/>
      <w:sz w:val="24"/>
      <w:szCs w:val="32"/>
      <w:lang w:val="zh-CN"/>
    </w:rPr>
  </w:style>
  <w:style w:type="character" w:customStyle="1" w:styleId="531">
    <w:name w:val="条 Char"/>
    <w:link w:val="530"/>
    <w:qFormat/>
    <w:uiPriority w:val="0"/>
    <w:rPr>
      <w:sz w:val="24"/>
      <w:szCs w:val="32"/>
      <w:lang w:val="zh-CN" w:eastAsia="zh-CN"/>
    </w:rPr>
  </w:style>
  <w:style w:type="character" w:customStyle="1" w:styleId="532">
    <w:name w:val="标题 2 Char"/>
    <w:link w:val="4"/>
    <w:qFormat/>
    <w:uiPriority w:val="0"/>
    <w:rPr>
      <w:rFonts w:ascii="Arial" w:hAnsi="Arial" w:eastAsia="黑体"/>
      <w:b/>
      <w:bCs/>
      <w:kern w:val="2"/>
      <w:sz w:val="32"/>
      <w:szCs w:val="32"/>
    </w:rPr>
  </w:style>
  <w:style w:type="character" w:customStyle="1" w:styleId="533">
    <w:name w:val="标题 4 Char"/>
    <w:link w:val="6"/>
    <w:qFormat/>
    <w:uiPriority w:val="9"/>
    <w:rPr>
      <w:rFonts w:ascii="Arial" w:hAnsi="Arial" w:eastAsia="黑体"/>
      <w:b/>
      <w:bCs/>
      <w:kern w:val="2"/>
      <w:sz w:val="28"/>
      <w:szCs w:val="28"/>
    </w:rPr>
  </w:style>
  <w:style w:type="character" w:customStyle="1" w:styleId="534">
    <w:name w:val="标题 5 Char"/>
    <w:link w:val="7"/>
    <w:qFormat/>
    <w:uiPriority w:val="9"/>
    <w:rPr>
      <w:b/>
      <w:bCs/>
      <w:kern w:val="2"/>
      <w:sz w:val="28"/>
      <w:szCs w:val="28"/>
    </w:rPr>
  </w:style>
  <w:style w:type="character" w:customStyle="1" w:styleId="535">
    <w:name w:val="标题 6 Char"/>
    <w:link w:val="8"/>
    <w:qFormat/>
    <w:uiPriority w:val="9"/>
    <w:rPr>
      <w:rFonts w:ascii="Arial" w:hAnsi="Arial" w:eastAsia="黑体"/>
      <w:b/>
      <w:bCs/>
      <w:kern w:val="2"/>
      <w:sz w:val="24"/>
      <w:szCs w:val="24"/>
    </w:rPr>
  </w:style>
  <w:style w:type="character" w:customStyle="1" w:styleId="536">
    <w:name w:val="标题 7 Char"/>
    <w:link w:val="9"/>
    <w:qFormat/>
    <w:uiPriority w:val="9"/>
    <w:rPr>
      <w:b/>
      <w:bCs/>
      <w:kern w:val="2"/>
      <w:sz w:val="24"/>
      <w:szCs w:val="24"/>
    </w:rPr>
  </w:style>
  <w:style w:type="character" w:customStyle="1" w:styleId="537">
    <w:name w:val="标题 8 Char"/>
    <w:link w:val="10"/>
    <w:qFormat/>
    <w:uiPriority w:val="9"/>
    <w:rPr>
      <w:rFonts w:ascii="Arial" w:hAnsi="Arial" w:eastAsia="黑体"/>
      <w:kern w:val="2"/>
      <w:sz w:val="24"/>
      <w:szCs w:val="24"/>
    </w:rPr>
  </w:style>
  <w:style w:type="character" w:customStyle="1" w:styleId="538">
    <w:name w:val="标题 9 Char"/>
    <w:link w:val="11"/>
    <w:qFormat/>
    <w:uiPriority w:val="9"/>
    <w:rPr>
      <w:rFonts w:ascii="Arial" w:hAnsi="Arial" w:eastAsia="黑体"/>
      <w:kern w:val="2"/>
      <w:sz w:val="21"/>
      <w:szCs w:val="21"/>
    </w:rPr>
  </w:style>
  <w:style w:type="character" w:customStyle="1" w:styleId="539">
    <w:name w:val="脚注文本 Char"/>
    <w:link w:val="69"/>
    <w:qFormat/>
    <w:uiPriority w:val="99"/>
    <w:rPr>
      <w:kern w:val="2"/>
      <w:sz w:val="18"/>
      <w:szCs w:val="18"/>
    </w:rPr>
  </w:style>
  <w:style w:type="character" w:customStyle="1" w:styleId="540">
    <w:name w:val="HTML 预设格式 Char"/>
    <w:link w:val="80"/>
    <w:qFormat/>
    <w:uiPriority w:val="99"/>
    <w:rPr>
      <w:rFonts w:ascii="Courier New" w:hAnsi="Courier New" w:cs="Courier New"/>
      <w:kern w:val="2"/>
    </w:rPr>
  </w:style>
  <w:style w:type="character" w:customStyle="1" w:styleId="541">
    <w:name w:val="标题 Char"/>
    <w:link w:val="84"/>
    <w:qFormat/>
    <w:uiPriority w:val="0"/>
    <w:rPr>
      <w:rFonts w:ascii="Arial" w:hAnsi="Arial" w:cs="Arial"/>
      <w:b/>
      <w:bCs/>
      <w:kern w:val="2"/>
      <w:sz w:val="32"/>
      <w:szCs w:val="32"/>
    </w:rPr>
  </w:style>
  <w:style w:type="paragraph" w:customStyle="1" w:styleId="542">
    <w:name w:val="_Style 5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3">
    <w:name w:val="05表头"/>
    <w:basedOn w:val="1"/>
    <w:link w:val="640"/>
    <w:qFormat/>
    <w:uiPriority w:val="0"/>
    <w:pPr>
      <w:spacing w:line="360" w:lineRule="auto"/>
      <w:jc w:val="center"/>
    </w:pPr>
    <w:rPr>
      <w:rFonts w:eastAsia="黑体"/>
      <w:kern w:val="0"/>
      <w:sz w:val="20"/>
      <w:lang w:val="zh-CN"/>
    </w:rPr>
  </w:style>
  <w:style w:type="paragraph" w:customStyle="1" w:styleId="544">
    <w:name w:val="06表中文字"/>
    <w:basedOn w:val="1"/>
    <w:qFormat/>
    <w:uiPriority w:val="0"/>
    <w:pPr>
      <w:widowControl/>
      <w:ind w:firstLine="6"/>
      <w:jc w:val="center"/>
      <w:textAlignment w:val="center"/>
    </w:pPr>
    <w:rPr>
      <w:kern w:val="0"/>
      <w:szCs w:val="18"/>
    </w:rPr>
  </w:style>
  <w:style w:type="paragraph" w:customStyle="1" w:styleId="545">
    <w:name w:val="列出段落1"/>
    <w:basedOn w:val="1"/>
    <w:link w:val="546"/>
    <w:qFormat/>
    <w:uiPriority w:val="34"/>
    <w:pPr>
      <w:spacing w:line="312" w:lineRule="auto"/>
      <w:ind w:firstLine="420" w:firstLineChars="200"/>
    </w:pPr>
    <w:rPr>
      <w:kern w:val="0"/>
      <w:sz w:val="24"/>
      <w:lang w:val="zh-CN"/>
    </w:rPr>
  </w:style>
  <w:style w:type="character" w:customStyle="1" w:styleId="546">
    <w:name w:val="列出段落 Char"/>
    <w:link w:val="545"/>
    <w:qFormat/>
    <w:uiPriority w:val="34"/>
    <w:rPr>
      <w:sz w:val="24"/>
      <w:szCs w:val="24"/>
      <w:lang w:val="zh-CN" w:eastAsia="zh-CN"/>
    </w:rPr>
  </w:style>
  <w:style w:type="character" w:customStyle="1" w:styleId="547">
    <w:name w:val="样式 宋体"/>
    <w:qFormat/>
    <w:uiPriority w:val="0"/>
    <w:rPr>
      <w:rFonts w:ascii="Times New Roman" w:hAnsi="Times New Roman" w:eastAsia="宋体"/>
    </w:rPr>
  </w:style>
  <w:style w:type="paragraph" w:customStyle="1" w:styleId="548">
    <w:name w:val="07图名"/>
    <w:basedOn w:val="1"/>
    <w:qFormat/>
    <w:uiPriority w:val="0"/>
    <w:pPr>
      <w:snapToGrid w:val="0"/>
      <w:spacing w:line="312" w:lineRule="auto"/>
      <w:jc w:val="center"/>
    </w:pPr>
  </w:style>
  <w:style w:type="paragraph" w:customStyle="1" w:styleId="549">
    <w:name w:val="Maple Output"/>
    <w:qFormat/>
    <w:uiPriority w:val="99"/>
    <w:pPr>
      <w:widowControl w:val="0"/>
      <w:autoSpaceDE w:val="0"/>
      <w:autoSpaceDN w:val="0"/>
      <w:adjustRightInd w:val="0"/>
      <w:spacing w:line="360" w:lineRule="auto"/>
      <w:jc w:val="center"/>
    </w:pPr>
    <w:rPr>
      <w:rFonts w:ascii="Times New Roman" w:hAnsi="Times New Roman" w:eastAsia="宋体" w:cs="Times New Roman"/>
      <w:color w:val="000000"/>
      <w:sz w:val="24"/>
      <w:szCs w:val="24"/>
      <w:lang w:val="en-US" w:eastAsia="zh-CN" w:bidi="ar-SA"/>
    </w:rPr>
  </w:style>
  <w:style w:type="paragraph" w:customStyle="1" w:styleId="550">
    <w:name w:val="图名和表名编号"/>
    <w:basedOn w:val="1"/>
    <w:qFormat/>
    <w:uiPriority w:val="0"/>
    <w:pPr>
      <w:tabs>
        <w:tab w:val="left" w:pos="2340"/>
      </w:tabs>
      <w:spacing w:beforeLines="25" w:afterLines="25"/>
      <w:jc w:val="center"/>
    </w:pPr>
    <w:rPr>
      <w:rFonts w:eastAsia="黑体"/>
      <w:b/>
      <w:color w:val="000000"/>
      <w:sz w:val="24"/>
      <w:szCs w:val="18"/>
    </w:rPr>
  </w:style>
  <w:style w:type="paragraph" w:customStyle="1" w:styleId="551">
    <w:name w:val="样式 样式 正文 +1 + 首行缩进:  2 字符"/>
    <w:basedOn w:val="1"/>
    <w:qFormat/>
    <w:uiPriority w:val="0"/>
    <w:pPr>
      <w:ind w:firstLine="560" w:firstLineChars="200"/>
      <w:jc w:val="left"/>
    </w:pPr>
    <w:rPr>
      <w:rFonts w:cs="宋体"/>
      <w:kern w:val="0"/>
      <w:sz w:val="24"/>
      <w:szCs w:val="20"/>
    </w:rPr>
  </w:style>
  <w:style w:type="paragraph" w:customStyle="1" w:styleId="552">
    <w:name w:val="表名"/>
    <w:basedOn w:val="1"/>
    <w:link w:val="553"/>
    <w:qFormat/>
    <w:uiPriority w:val="0"/>
    <w:pPr>
      <w:spacing w:beforeLines="50" w:afterLines="50"/>
      <w:jc w:val="left"/>
    </w:pPr>
    <w:rPr>
      <w:rFonts w:eastAsia="黑体"/>
      <w:b/>
      <w:kern w:val="0"/>
      <w:sz w:val="24"/>
      <w:lang w:val="en-GB"/>
    </w:rPr>
  </w:style>
  <w:style w:type="character" w:customStyle="1" w:styleId="553">
    <w:name w:val="表名 Char"/>
    <w:link w:val="552"/>
    <w:qFormat/>
    <w:uiPriority w:val="0"/>
    <w:rPr>
      <w:rFonts w:eastAsia="黑体"/>
      <w:b/>
      <w:sz w:val="24"/>
      <w:szCs w:val="24"/>
      <w:lang w:val="en-GB" w:eastAsia="zh-CN"/>
    </w:rPr>
  </w:style>
  <w:style w:type="paragraph" w:customStyle="1" w:styleId="554">
    <w:name w:val="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55">
    <w:name w:val="font04"/>
    <w:basedOn w:val="1"/>
    <w:qFormat/>
    <w:uiPriority w:val="0"/>
    <w:pPr>
      <w:widowControl/>
      <w:spacing w:before="100" w:beforeAutospacing="1" w:after="150" w:line="270" w:lineRule="atLeast"/>
      <w:ind w:firstLine="360"/>
      <w:jc w:val="left"/>
    </w:pPr>
    <w:rPr>
      <w:rFonts w:ascii="宋体" w:hAnsi="宋体" w:cs="宋体"/>
      <w:color w:val="2E4E9E"/>
      <w:kern w:val="0"/>
      <w:sz w:val="24"/>
    </w:rPr>
  </w:style>
  <w:style w:type="character" w:customStyle="1" w:styleId="556">
    <w:name w:val="style41"/>
    <w:qFormat/>
    <w:uiPriority w:val="0"/>
    <w:rPr>
      <w:b/>
      <w:bCs/>
      <w:color w:val="0C5075"/>
    </w:rPr>
  </w:style>
  <w:style w:type="character" w:customStyle="1" w:styleId="557">
    <w:name w:val="Char Char"/>
    <w:qFormat/>
    <w:uiPriority w:val="0"/>
    <w:rPr>
      <w:rFonts w:cs="Times New Roman"/>
      <w:kern w:val="2"/>
      <w:sz w:val="18"/>
      <w:szCs w:val="18"/>
    </w:rPr>
  </w:style>
  <w:style w:type="paragraph" w:customStyle="1" w:styleId="558">
    <w:name w:val="样式 目录 1 + 段前: 1 行 段后: 1 行"/>
    <w:basedOn w:val="19"/>
    <w:qFormat/>
    <w:uiPriority w:val="0"/>
    <w:pPr>
      <w:widowControl w:val="0"/>
      <w:tabs>
        <w:tab w:val="right" w:leader="dot" w:pos="8364"/>
      </w:tabs>
      <w:spacing w:before="0" w:beforeLines="100" w:after="0" w:afterLines="100" w:line="360" w:lineRule="auto"/>
      <w:jc w:val="center"/>
    </w:pPr>
    <w:rPr>
      <w:rFonts w:ascii="黑体" w:eastAsia="黑体" w:cs="宋体"/>
      <w:kern w:val="2"/>
      <w:sz w:val="24"/>
      <w:szCs w:val="24"/>
    </w:rPr>
  </w:style>
  <w:style w:type="paragraph" w:customStyle="1" w:styleId="559">
    <w:name w:val="样式 样式 目录 1 + 段前: 1 行 段后: 1 行 + 段前: 1 行 段后: 1 行"/>
    <w:basedOn w:val="558"/>
    <w:qFormat/>
    <w:uiPriority w:val="0"/>
    <w:pPr>
      <w:spacing w:beforeLines="0" w:afterLines="0"/>
    </w:pPr>
  </w:style>
  <w:style w:type="paragraph" w:customStyle="1" w:styleId="560">
    <w:name w:val="Char Char Char Char"/>
    <w:basedOn w:val="1"/>
    <w:qFormat/>
    <w:uiPriority w:val="0"/>
    <w:rPr>
      <w:rFonts w:ascii="Tahoma" w:hAnsi="Tahoma"/>
      <w:sz w:val="24"/>
    </w:rPr>
  </w:style>
  <w:style w:type="paragraph" w:customStyle="1" w:styleId="561">
    <w:name w:val="Char"/>
    <w:basedOn w:val="1"/>
    <w:qFormat/>
    <w:uiPriority w:val="0"/>
  </w:style>
  <w:style w:type="character" w:customStyle="1" w:styleId="562">
    <w:name w:val="apple-style-span"/>
    <w:basedOn w:val="231"/>
    <w:qFormat/>
    <w:uiPriority w:val="0"/>
  </w:style>
  <w:style w:type="paragraph" w:customStyle="1" w:styleId="563">
    <w:name w:val="正文排版"/>
    <w:basedOn w:val="1"/>
    <w:link w:val="564"/>
    <w:qFormat/>
    <w:uiPriority w:val="0"/>
    <w:pPr>
      <w:spacing w:line="400" w:lineRule="exact"/>
      <w:ind w:firstLine="200" w:firstLineChars="200"/>
    </w:pPr>
    <w:rPr>
      <w:rFonts w:ascii="Calibri" w:hAnsi="Calibri"/>
      <w:kern w:val="0"/>
      <w:sz w:val="24"/>
      <w:lang w:val="zh-CN"/>
    </w:rPr>
  </w:style>
  <w:style w:type="character" w:customStyle="1" w:styleId="564">
    <w:name w:val="正文排版 Char"/>
    <w:link w:val="563"/>
    <w:qFormat/>
    <w:uiPriority w:val="0"/>
    <w:rPr>
      <w:rFonts w:ascii="Calibri" w:hAnsi="Calibri"/>
      <w:sz w:val="24"/>
      <w:szCs w:val="24"/>
      <w:lang w:val="zh-CN" w:eastAsia="zh-CN"/>
    </w:rPr>
  </w:style>
  <w:style w:type="paragraph" w:customStyle="1" w:styleId="565">
    <w:name w:val="段落"/>
    <w:basedOn w:val="1"/>
    <w:link w:val="566"/>
    <w:qFormat/>
    <w:uiPriority w:val="0"/>
    <w:pPr>
      <w:spacing w:line="300" w:lineRule="auto"/>
      <w:ind w:firstLine="200" w:firstLineChars="200"/>
    </w:pPr>
    <w:rPr>
      <w:rFonts w:ascii="Calibri" w:hAnsi="Calibri"/>
      <w:kern w:val="0"/>
      <w:sz w:val="20"/>
      <w:lang w:val="zh-CN"/>
    </w:rPr>
  </w:style>
  <w:style w:type="character" w:customStyle="1" w:styleId="566">
    <w:name w:val="段落 Char"/>
    <w:link w:val="565"/>
    <w:qFormat/>
    <w:uiPriority w:val="0"/>
    <w:rPr>
      <w:rFonts w:ascii="Calibri" w:hAnsi="Calibri"/>
      <w:szCs w:val="24"/>
      <w:lang w:val="zh-CN" w:eastAsia="zh-CN"/>
    </w:rPr>
  </w:style>
  <w:style w:type="paragraph" w:customStyle="1" w:styleId="56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8">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9">
    <w:name w:val="MTDisplayEquation"/>
    <w:basedOn w:val="1"/>
    <w:next w:val="1"/>
    <w:link w:val="570"/>
    <w:qFormat/>
    <w:uiPriority w:val="0"/>
    <w:pPr>
      <w:tabs>
        <w:tab w:val="center" w:pos="4160"/>
        <w:tab w:val="right" w:pos="8300"/>
      </w:tabs>
      <w:spacing w:line="360" w:lineRule="auto"/>
      <w:ind w:firstLine="480" w:firstLineChars="200"/>
      <w:textAlignment w:val="center"/>
    </w:pPr>
    <w:rPr>
      <w:kern w:val="0"/>
      <w:sz w:val="24"/>
      <w:lang w:val="zh-CN"/>
    </w:rPr>
  </w:style>
  <w:style w:type="character" w:customStyle="1" w:styleId="570">
    <w:name w:val="MTDisplayEquation Char"/>
    <w:link w:val="569"/>
    <w:qFormat/>
    <w:uiPriority w:val="0"/>
    <w:rPr>
      <w:sz w:val="24"/>
      <w:szCs w:val="24"/>
      <w:lang w:val="zh-CN" w:eastAsia="zh-CN"/>
    </w:rPr>
  </w:style>
  <w:style w:type="paragraph" w:customStyle="1" w:styleId="571">
    <w:name w:val="08图片格式"/>
    <w:basedOn w:val="1"/>
    <w:qFormat/>
    <w:uiPriority w:val="0"/>
    <w:pPr>
      <w:keepNext/>
      <w:spacing w:line="312" w:lineRule="auto"/>
      <w:jc w:val="center"/>
    </w:pPr>
    <w:rPr>
      <w:sz w:val="24"/>
    </w:rPr>
  </w:style>
  <w:style w:type="paragraph" w:customStyle="1" w:styleId="572">
    <w:name w:val="样式1"/>
    <w:basedOn w:val="543"/>
    <w:next w:val="571"/>
    <w:link w:val="573"/>
    <w:qFormat/>
    <w:uiPriority w:val="0"/>
    <w:pPr>
      <w:keepNext/>
      <w:spacing w:beforeLines="50"/>
    </w:pPr>
  </w:style>
  <w:style w:type="character" w:customStyle="1" w:styleId="573">
    <w:name w:val="样式1 Char"/>
    <w:link w:val="572"/>
    <w:qFormat/>
    <w:uiPriority w:val="0"/>
    <w:rPr>
      <w:rFonts w:eastAsia="黑体"/>
      <w:szCs w:val="24"/>
      <w:lang w:val="zh-CN" w:eastAsia="zh-CN"/>
    </w:rPr>
  </w:style>
  <w:style w:type="paragraph" w:customStyle="1" w:styleId="574">
    <w:name w:val="s"/>
    <w:basedOn w:val="1"/>
    <w:qFormat/>
    <w:uiPriority w:val="0"/>
    <w:pPr>
      <w:spacing w:line="360" w:lineRule="atLeast"/>
      <w:ind w:firstLine="200" w:firstLineChars="200"/>
    </w:pPr>
    <w:rPr>
      <w:rFonts w:eastAsia="仿宋_GB2312"/>
      <w:sz w:val="24"/>
    </w:rPr>
  </w:style>
  <w:style w:type="paragraph" w:customStyle="1" w:styleId="575">
    <w:name w:val="z"/>
    <w:basedOn w:val="1"/>
    <w:qFormat/>
    <w:uiPriority w:val="0"/>
    <w:pPr>
      <w:spacing w:line="360" w:lineRule="auto"/>
      <w:ind w:firstLine="200" w:firstLineChars="200"/>
    </w:pPr>
    <w:rPr>
      <w:sz w:val="24"/>
    </w:rPr>
  </w:style>
  <w:style w:type="paragraph" w:customStyle="1" w:styleId="576">
    <w:name w:val="说明"/>
    <w:basedOn w:val="1"/>
    <w:qFormat/>
    <w:uiPriority w:val="0"/>
    <w:pPr>
      <w:spacing w:line="400" w:lineRule="atLeast"/>
    </w:pPr>
    <w:rPr>
      <w:rFonts w:ascii="楷体_GB2312" w:eastAsia="楷体_GB2312"/>
      <w:sz w:val="24"/>
    </w:rPr>
  </w:style>
  <w:style w:type="paragraph" w:customStyle="1" w:styleId="577">
    <w:name w:val="Char Char Char Char Char Char Char"/>
    <w:basedOn w:val="1"/>
    <w:qFormat/>
    <w:uiPriority w:val="0"/>
    <w:pPr>
      <w:widowControl/>
      <w:topLinePunct/>
      <w:adjustRightInd w:val="0"/>
      <w:spacing w:after="160" w:line="240" w:lineRule="exact"/>
      <w:jc w:val="left"/>
    </w:pPr>
    <w:rPr>
      <w:rFonts w:ascii="Arial" w:hAnsi="Arial" w:eastAsia="Times New Roman" w:cs="Verdana"/>
      <w:b/>
      <w:kern w:val="0"/>
      <w:sz w:val="24"/>
      <w:lang w:eastAsia="en-US"/>
    </w:rPr>
  </w:style>
  <w:style w:type="paragraph" w:customStyle="1" w:styleId="578">
    <w:name w:val="样式 标题 2 + 黑色"/>
    <w:basedOn w:val="4"/>
    <w:qFormat/>
    <w:uiPriority w:val="0"/>
    <w:pPr>
      <w:spacing w:before="0" w:after="0" w:line="360" w:lineRule="auto"/>
      <w:jc w:val="center"/>
    </w:pPr>
    <w:rPr>
      <w:rFonts w:ascii="Times New Roman" w:hAnsi="Times New Roman"/>
      <w:color w:val="000000"/>
      <w:kern w:val="0"/>
      <w:sz w:val="21"/>
      <w:szCs w:val="21"/>
      <w:lang w:val="zh-CN"/>
    </w:rPr>
  </w:style>
  <w:style w:type="paragraph" w:customStyle="1" w:styleId="579">
    <w:name w:val="样式2"/>
    <w:basedOn w:val="61"/>
    <w:link w:val="580"/>
    <w:qFormat/>
    <w:uiPriority w:val="0"/>
    <w:pPr>
      <w:pBdr>
        <w:bottom w:val="none" w:color="auto" w:sz="0" w:space="0"/>
      </w:pBdr>
    </w:pPr>
    <w:rPr>
      <w:kern w:val="0"/>
      <w:lang w:val="zh-CN"/>
    </w:rPr>
  </w:style>
  <w:style w:type="character" w:customStyle="1" w:styleId="580">
    <w:name w:val="样式2 Char"/>
    <w:link w:val="579"/>
    <w:qFormat/>
    <w:uiPriority w:val="0"/>
    <w:rPr>
      <w:sz w:val="18"/>
      <w:szCs w:val="18"/>
      <w:lang w:val="zh-CN" w:eastAsia="zh-CN"/>
    </w:rPr>
  </w:style>
  <w:style w:type="paragraph" w:customStyle="1" w:styleId="581">
    <w:name w:val="样式3"/>
    <w:basedOn w:val="61"/>
    <w:link w:val="582"/>
    <w:qFormat/>
    <w:uiPriority w:val="0"/>
    <w:pPr>
      <w:pBdr>
        <w:bottom w:val="none" w:color="auto" w:sz="0" w:space="0"/>
      </w:pBdr>
    </w:pPr>
    <w:rPr>
      <w:kern w:val="0"/>
      <w:lang w:val="zh-CN"/>
    </w:rPr>
  </w:style>
  <w:style w:type="character" w:customStyle="1" w:styleId="582">
    <w:name w:val="样式3 Char"/>
    <w:link w:val="581"/>
    <w:qFormat/>
    <w:uiPriority w:val="0"/>
    <w:rPr>
      <w:sz w:val="18"/>
      <w:szCs w:val="18"/>
      <w:lang w:val="zh-CN" w:eastAsia="zh-CN"/>
    </w:rPr>
  </w:style>
  <w:style w:type="paragraph" w:customStyle="1" w:styleId="583">
    <w:name w:val="样式4"/>
    <w:basedOn w:val="61"/>
    <w:link w:val="584"/>
    <w:qFormat/>
    <w:uiPriority w:val="0"/>
    <w:pPr>
      <w:pBdr>
        <w:bottom w:val="none" w:color="auto" w:sz="0" w:space="0"/>
      </w:pBdr>
    </w:pPr>
    <w:rPr>
      <w:kern w:val="0"/>
      <w:lang w:val="zh-CN"/>
    </w:rPr>
  </w:style>
  <w:style w:type="character" w:customStyle="1" w:styleId="584">
    <w:name w:val="样式4 Char"/>
    <w:link w:val="583"/>
    <w:qFormat/>
    <w:uiPriority w:val="0"/>
    <w:rPr>
      <w:sz w:val="18"/>
      <w:szCs w:val="18"/>
      <w:lang w:val="zh-CN" w:eastAsia="zh-CN"/>
    </w:rPr>
  </w:style>
  <w:style w:type="paragraph" w:customStyle="1" w:styleId="585">
    <w:name w:val="样式5"/>
    <w:basedOn w:val="61"/>
    <w:link w:val="586"/>
    <w:qFormat/>
    <w:uiPriority w:val="0"/>
    <w:pPr>
      <w:pBdr>
        <w:bottom w:val="none" w:color="auto" w:sz="0" w:space="0"/>
      </w:pBdr>
    </w:pPr>
    <w:rPr>
      <w:kern w:val="0"/>
      <w:lang w:val="zh-CN"/>
    </w:rPr>
  </w:style>
  <w:style w:type="character" w:customStyle="1" w:styleId="586">
    <w:name w:val="样式5 Char"/>
    <w:link w:val="585"/>
    <w:qFormat/>
    <w:uiPriority w:val="0"/>
    <w:rPr>
      <w:sz w:val="18"/>
      <w:szCs w:val="18"/>
      <w:lang w:val="zh-CN" w:eastAsia="zh-CN"/>
    </w:rPr>
  </w:style>
  <w:style w:type="paragraph" w:customStyle="1" w:styleId="587">
    <w:name w:val="样式6"/>
    <w:basedOn w:val="61"/>
    <w:link w:val="588"/>
    <w:qFormat/>
    <w:uiPriority w:val="0"/>
    <w:pPr>
      <w:pBdr>
        <w:bottom w:val="none" w:color="auto" w:sz="0" w:space="0"/>
      </w:pBdr>
    </w:pPr>
    <w:rPr>
      <w:kern w:val="0"/>
      <w:lang w:val="zh-CN"/>
    </w:rPr>
  </w:style>
  <w:style w:type="character" w:customStyle="1" w:styleId="588">
    <w:name w:val="样式6 Char"/>
    <w:link w:val="587"/>
    <w:qFormat/>
    <w:uiPriority w:val="0"/>
    <w:rPr>
      <w:sz w:val="18"/>
      <w:szCs w:val="18"/>
      <w:lang w:val="zh-CN" w:eastAsia="zh-CN"/>
    </w:rPr>
  </w:style>
  <w:style w:type="paragraph" w:customStyle="1" w:styleId="589">
    <w:name w:val="样式7"/>
    <w:basedOn w:val="61"/>
    <w:link w:val="590"/>
    <w:qFormat/>
    <w:uiPriority w:val="0"/>
    <w:pPr>
      <w:pBdr>
        <w:bottom w:val="none" w:color="auto" w:sz="0" w:space="0"/>
      </w:pBdr>
    </w:pPr>
    <w:rPr>
      <w:kern w:val="0"/>
      <w:lang w:val="zh-CN"/>
    </w:rPr>
  </w:style>
  <w:style w:type="character" w:customStyle="1" w:styleId="590">
    <w:name w:val="样式7 Char"/>
    <w:link w:val="589"/>
    <w:qFormat/>
    <w:uiPriority w:val="0"/>
    <w:rPr>
      <w:sz w:val="18"/>
      <w:szCs w:val="18"/>
      <w:lang w:val="zh-CN" w:eastAsia="zh-CN"/>
    </w:rPr>
  </w:style>
  <w:style w:type="paragraph" w:customStyle="1" w:styleId="591">
    <w:name w:val="样式8"/>
    <w:basedOn w:val="61"/>
    <w:link w:val="592"/>
    <w:qFormat/>
    <w:uiPriority w:val="0"/>
    <w:pPr>
      <w:pBdr>
        <w:bottom w:val="none" w:color="auto" w:sz="0" w:space="0"/>
      </w:pBdr>
    </w:pPr>
    <w:rPr>
      <w:kern w:val="0"/>
      <w:lang w:val="zh-CN"/>
    </w:rPr>
  </w:style>
  <w:style w:type="character" w:customStyle="1" w:styleId="592">
    <w:name w:val="样式8 Char"/>
    <w:link w:val="591"/>
    <w:qFormat/>
    <w:uiPriority w:val="0"/>
    <w:rPr>
      <w:sz w:val="18"/>
      <w:szCs w:val="18"/>
      <w:lang w:val="zh-CN" w:eastAsia="zh-CN"/>
    </w:rPr>
  </w:style>
  <w:style w:type="paragraph" w:customStyle="1" w:styleId="593">
    <w:name w:val="样式9"/>
    <w:basedOn w:val="61"/>
    <w:link w:val="594"/>
    <w:qFormat/>
    <w:uiPriority w:val="0"/>
    <w:pPr>
      <w:pBdr>
        <w:bottom w:val="none" w:color="auto" w:sz="0" w:space="0"/>
      </w:pBdr>
    </w:pPr>
    <w:rPr>
      <w:kern w:val="0"/>
      <w:lang w:val="zh-CN"/>
    </w:rPr>
  </w:style>
  <w:style w:type="character" w:customStyle="1" w:styleId="594">
    <w:name w:val="样式9 Char"/>
    <w:link w:val="593"/>
    <w:qFormat/>
    <w:uiPriority w:val="0"/>
    <w:rPr>
      <w:sz w:val="18"/>
      <w:szCs w:val="18"/>
      <w:lang w:val="zh-CN" w:eastAsia="zh-CN"/>
    </w:rPr>
  </w:style>
  <w:style w:type="paragraph" w:customStyle="1" w:styleId="595">
    <w:name w:val="样式10"/>
    <w:basedOn w:val="61"/>
    <w:link w:val="596"/>
    <w:qFormat/>
    <w:uiPriority w:val="0"/>
    <w:pPr>
      <w:pBdr>
        <w:bottom w:val="none" w:color="auto" w:sz="0" w:space="0"/>
      </w:pBdr>
    </w:pPr>
    <w:rPr>
      <w:kern w:val="0"/>
      <w:lang w:val="zh-CN"/>
    </w:rPr>
  </w:style>
  <w:style w:type="character" w:customStyle="1" w:styleId="596">
    <w:name w:val="样式10 Char"/>
    <w:link w:val="595"/>
    <w:qFormat/>
    <w:uiPriority w:val="0"/>
    <w:rPr>
      <w:sz w:val="18"/>
      <w:szCs w:val="18"/>
      <w:lang w:val="zh-CN" w:eastAsia="zh-CN"/>
    </w:rPr>
  </w:style>
  <w:style w:type="paragraph" w:customStyle="1" w:styleId="597">
    <w:name w:val="样式11"/>
    <w:basedOn w:val="61"/>
    <w:link w:val="598"/>
    <w:qFormat/>
    <w:uiPriority w:val="0"/>
    <w:pPr>
      <w:pBdr>
        <w:bottom w:val="none" w:color="auto" w:sz="0" w:space="0"/>
      </w:pBdr>
    </w:pPr>
    <w:rPr>
      <w:kern w:val="0"/>
      <w:lang w:val="zh-CN"/>
    </w:rPr>
  </w:style>
  <w:style w:type="character" w:customStyle="1" w:styleId="598">
    <w:name w:val="样式11 Char"/>
    <w:link w:val="597"/>
    <w:qFormat/>
    <w:uiPriority w:val="0"/>
    <w:rPr>
      <w:sz w:val="18"/>
      <w:szCs w:val="18"/>
      <w:lang w:val="zh-CN" w:eastAsia="zh-CN"/>
    </w:rPr>
  </w:style>
  <w:style w:type="paragraph" w:customStyle="1" w:styleId="599">
    <w:name w:val="样式 样式 四号 + 首行缩进:  2 字符"/>
    <w:basedOn w:val="1"/>
    <w:link w:val="600"/>
    <w:qFormat/>
    <w:uiPriority w:val="0"/>
    <w:pPr>
      <w:spacing w:line="360" w:lineRule="auto"/>
      <w:ind w:firstLine="200" w:firstLineChars="200"/>
    </w:pPr>
    <w:rPr>
      <w:kern w:val="0"/>
      <w:sz w:val="24"/>
      <w:szCs w:val="20"/>
      <w:lang w:val="zh-CN"/>
    </w:rPr>
  </w:style>
  <w:style w:type="character" w:customStyle="1" w:styleId="600">
    <w:name w:val="样式 样式 四号 + 首行缩进:  2 字符 Char"/>
    <w:link w:val="599"/>
    <w:qFormat/>
    <w:uiPriority w:val="0"/>
    <w:rPr>
      <w:sz w:val="24"/>
      <w:lang w:val="zh-CN" w:eastAsia="zh-CN"/>
    </w:rPr>
  </w:style>
  <w:style w:type="paragraph" w:customStyle="1" w:styleId="601">
    <w:name w:val="样式 四号"/>
    <w:basedOn w:val="1"/>
    <w:link w:val="602"/>
    <w:qFormat/>
    <w:uiPriority w:val="0"/>
    <w:pPr>
      <w:ind w:firstLine="560" w:firstLineChars="200"/>
    </w:pPr>
    <w:rPr>
      <w:kern w:val="0"/>
      <w:sz w:val="24"/>
      <w:szCs w:val="20"/>
      <w:lang w:val="zh-CN"/>
    </w:rPr>
  </w:style>
  <w:style w:type="character" w:customStyle="1" w:styleId="602">
    <w:name w:val="样式 四号 Char"/>
    <w:link w:val="601"/>
    <w:qFormat/>
    <w:uiPriority w:val="0"/>
    <w:rPr>
      <w:sz w:val="24"/>
      <w:lang w:val="zh-CN" w:eastAsia="zh-CN"/>
    </w:rPr>
  </w:style>
  <w:style w:type="paragraph" w:customStyle="1" w:styleId="603">
    <w:name w:val="修订1"/>
    <w:hidden/>
    <w:semiHidden/>
    <w:qFormat/>
    <w:uiPriority w:val="99"/>
    <w:rPr>
      <w:rFonts w:ascii="Times New Roman" w:hAnsi="Times New Roman" w:eastAsia="宋体" w:cs="Times New Roman"/>
      <w:kern w:val="2"/>
      <w:sz w:val="24"/>
      <w:szCs w:val="24"/>
      <w:lang w:val="en-US" w:eastAsia="zh-CN" w:bidi="ar-SA"/>
    </w:rPr>
  </w:style>
  <w:style w:type="paragraph" w:customStyle="1" w:styleId="604">
    <w:name w:val="1 Char Char Char Char"/>
    <w:basedOn w:val="1"/>
    <w:qFormat/>
    <w:uiPriority w:val="0"/>
    <w:rPr>
      <w:szCs w:val="20"/>
    </w:rPr>
  </w:style>
  <w:style w:type="character" w:customStyle="1" w:styleId="605">
    <w:name w:val="段 Char Char"/>
    <w:link w:val="258"/>
    <w:qFormat/>
    <w:uiPriority w:val="0"/>
    <w:rPr>
      <w:rFonts w:ascii="宋体"/>
      <w:sz w:val="21"/>
    </w:rPr>
  </w:style>
  <w:style w:type="paragraph" w:customStyle="1" w:styleId="606">
    <w:name w:val="表内文字"/>
    <w:basedOn w:val="1"/>
    <w:qFormat/>
    <w:uiPriority w:val="0"/>
    <w:pPr>
      <w:spacing w:line="300" w:lineRule="auto"/>
      <w:jc w:val="center"/>
    </w:pPr>
    <w:rPr>
      <w:bCs/>
      <w:szCs w:val="21"/>
    </w:rPr>
  </w:style>
  <w:style w:type="paragraph" w:customStyle="1" w:styleId="607">
    <w:name w:val="2"/>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608">
    <w:name w:val="条文正文"/>
    <w:basedOn w:val="1"/>
    <w:link w:val="609"/>
    <w:qFormat/>
    <w:uiPriority w:val="0"/>
    <w:pPr>
      <w:spacing w:line="300" w:lineRule="auto"/>
      <w:outlineLvl w:val="2"/>
    </w:pPr>
    <w:rPr>
      <w:kern w:val="0"/>
      <w:sz w:val="24"/>
      <w:lang w:val="zh-CN"/>
    </w:rPr>
  </w:style>
  <w:style w:type="character" w:customStyle="1" w:styleId="609">
    <w:name w:val="条文正文 Char"/>
    <w:link w:val="608"/>
    <w:qFormat/>
    <w:uiPriority w:val="0"/>
    <w:rPr>
      <w:sz w:val="24"/>
      <w:szCs w:val="24"/>
      <w:lang w:val="zh-CN" w:eastAsia="zh-CN"/>
    </w:rPr>
  </w:style>
  <w:style w:type="paragraph" w:customStyle="1" w:styleId="610">
    <w:name w:val="注文字"/>
    <w:basedOn w:val="1"/>
    <w:qFormat/>
    <w:uiPriority w:val="0"/>
    <w:pPr>
      <w:ind w:left="788" w:leftChars="200" w:hanging="368" w:hangingChars="175"/>
    </w:pPr>
    <w:rPr>
      <w:szCs w:val="21"/>
    </w:rPr>
  </w:style>
  <w:style w:type="paragraph" w:customStyle="1" w:styleId="611">
    <w:name w:val="样式 条文正文 + 加粗"/>
    <w:basedOn w:val="608"/>
    <w:link w:val="612"/>
    <w:qFormat/>
    <w:uiPriority w:val="0"/>
    <w:rPr>
      <w:b/>
      <w:bCs/>
    </w:rPr>
  </w:style>
  <w:style w:type="character" w:customStyle="1" w:styleId="612">
    <w:name w:val="样式 条文正文 + 加粗 Char"/>
    <w:link w:val="611"/>
    <w:qFormat/>
    <w:uiPriority w:val="0"/>
    <w:rPr>
      <w:b/>
      <w:bCs/>
      <w:sz w:val="24"/>
      <w:szCs w:val="24"/>
      <w:lang w:val="zh-CN" w:eastAsia="zh-CN"/>
    </w:rPr>
  </w:style>
  <w:style w:type="paragraph" w:customStyle="1" w:styleId="613">
    <w:name w:val="1"/>
    <w:basedOn w:val="1"/>
    <w:link w:val="614"/>
    <w:qFormat/>
    <w:uiPriority w:val="0"/>
    <w:pPr>
      <w:spacing w:line="300" w:lineRule="auto"/>
      <w:ind w:firstLine="482" w:firstLineChars="200"/>
    </w:pPr>
    <w:rPr>
      <w:kern w:val="0"/>
      <w:sz w:val="24"/>
      <w:lang w:val="zh-CN"/>
    </w:rPr>
  </w:style>
  <w:style w:type="character" w:customStyle="1" w:styleId="614">
    <w:name w:val="1 Char"/>
    <w:link w:val="613"/>
    <w:qFormat/>
    <w:uiPriority w:val="0"/>
    <w:rPr>
      <w:sz w:val="24"/>
      <w:szCs w:val="24"/>
      <w:lang w:val="zh-CN" w:eastAsia="zh-CN"/>
    </w:rPr>
  </w:style>
  <w:style w:type="character" w:customStyle="1" w:styleId="615">
    <w:name w:val="headline-content3"/>
    <w:basedOn w:val="231"/>
    <w:qFormat/>
    <w:uiPriority w:val="0"/>
  </w:style>
  <w:style w:type="paragraph" w:customStyle="1" w:styleId="616">
    <w:name w:val="album-div1"/>
    <w:basedOn w:val="1"/>
    <w:qFormat/>
    <w:uiPriority w:val="0"/>
    <w:pPr>
      <w:widowControl/>
      <w:shd w:val="clear" w:color="auto" w:fill="FFFFFF"/>
      <w:spacing w:before="100" w:beforeAutospacing="1" w:after="100" w:afterAutospacing="1"/>
      <w:jc w:val="left"/>
    </w:pPr>
    <w:rPr>
      <w:rFonts w:ascii="宋体" w:hAnsi="宋体" w:cs="宋体"/>
      <w:kern w:val="0"/>
      <w:sz w:val="24"/>
    </w:rPr>
  </w:style>
  <w:style w:type="character" w:customStyle="1" w:styleId="617">
    <w:name w:val="占位符文本1"/>
    <w:semiHidden/>
    <w:qFormat/>
    <w:uiPriority w:val="99"/>
    <w:rPr>
      <w:color w:val="808080"/>
    </w:rPr>
  </w:style>
  <w:style w:type="paragraph" w:customStyle="1" w:styleId="618">
    <w:name w:val="02条文"/>
    <w:basedOn w:val="1"/>
    <w:next w:val="1"/>
    <w:qFormat/>
    <w:uiPriority w:val="0"/>
    <w:pPr>
      <w:tabs>
        <w:tab w:val="left" w:pos="5220"/>
      </w:tabs>
      <w:spacing w:line="312" w:lineRule="auto"/>
    </w:pPr>
    <w:rPr>
      <w:sz w:val="24"/>
    </w:rPr>
  </w:style>
  <w:style w:type="paragraph" w:customStyle="1" w:styleId="619">
    <w:name w:val="章"/>
    <w:basedOn w:val="1"/>
    <w:link w:val="639"/>
    <w:qFormat/>
    <w:uiPriority w:val="0"/>
    <w:pPr>
      <w:spacing w:beforeLines="100" w:afterLines="100" w:line="300" w:lineRule="auto"/>
      <w:jc w:val="center"/>
      <w:outlineLvl w:val="0"/>
    </w:pPr>
    <w:rPr>
      <w:b/>
      <w:bCs/>
      <w:kern w:val="0"/>
      <w:sz w:val="28"/>
      <w:szCs w:val="28"/>
      <w:lang w:val="zh-CN"/>
    </w:rPr>
  </w:style>
  <w:style w:type="paragraph" w:customStyle="1" w:styleId="620">
    <w:name w:val="Char Char Char Char Char Char Char1"/>
    <w:basedOn w:val="1"/>
    <w:qFormat/>
    <w:uiPriority w:val="0"/>
    <w:pPr>
      <w:widowControl/>
      <w:topLinePunct/>
      <w:adjustRightInd w:val="0"/>
      <w:spacing w:after="160" w:line="240" w:lineRule="exact"/>
      <w:jc w:val="left"/>
    </w:pPr>
    <w:rPr>
      <w:rFonts w:ascii="Arial" w:hAnsi="Arial" w:eastAsia="Times New Roman" w:cs="Verdana"/>
      <w:b/>
      <w:kern w:val="0"/>
      <w:sz w:val="24"/>
      <w:lang w:eastAsia="en-US"/>
    </w:rPr>
  </w:style>
  <w:style w:type="character" w:customStyle="1" w:styleId="621">
    <w:name w:val="批注文字 Char1"/>
    <w:semiHidden/>
    <w:qFormat/>
    <w:uiPriority w:val="99"/>
    <w:rPr>
      <w:rFonts w:ascii="Times New Roman" w:hAnsi="Times New Roman"/>
      <w:kern w:val="2"/>
      <w:sz w:val="24"/>
      <w:szCs w:val="24"/>
    </w:rPr>
  </w:style>
  <w:style w:type="character" w:customStyle="1" w:styleId="622">
    <w:name w:val="批注主题 Char1"/>
    <w:semiHidden/>
    <w:qFormat/>
    <w:uiPriority w:val="0"/>
    <w:rPr>
      <w:rFonts w:ascii="Times New Roman" w:hAnsi="Times New Roman"/>
      <w:b/>
      <w:bCs/>
      <w:kern w:val="2"/>
      <w:sz w:val="24"/>
      <w:szCs w:val="24"/>
    </w:rPr>
  </w:style>
  <w:style w:type="paragraph" w:customStyle="1" w:styleId="623">
    <w:name w:val="公式文字"/>
    <w:basedOn w:val="544"/>
    <w:qFormat/>
    <w:uiPriority w:val="0"/>
    <w:pPr>
      <w:ind w:left="-100" w:leftChars="-100" w:firstLine="0"/>
      <w:jc w:val="left"/>
    </w:pPr>
    <w:rPr>
      <w:color w:val="000000"/>
      <w:sz w:val="24"/>
      <w:szCs w:val="21"/>
    </w:rPr>
  </w:style>
  <w:style w:type="paragraph" w:customStyle="1" w:styleId="624">
    <w:name w:val="3"/>
    <w:qFormat/>
    <w:uiPriority w:val="0"/>
    <w:pPr>
      <w:widowControl w:val="0"/>
      <w:spacing w:line="312"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25">
    <w:name w:val="正文3"/>
    <w:basedOn w:val="1"/>
    <w:qFormat/>
    <w:uiPriority w:val="0"/>
    <w:pPr>
      <w:spacing w:line="360" w:lineRule="auto"/>
      <w:ind w:firstLine="480" w:firstLineChars="200"/>
    </w:pPr>
    <w:rPr>
      <w:rFonts w:cs="宋体"/>
      <w:sz w:val="24"/>
    </w:rPr>
  </w:style>
  <w:style w:type="paragraph" w:customStyle="1" w:styleId="626">
    <w:name w:val="分条"/>
    <w:basedOn w:val="1"/>
    <w:link w:val="627"/>
    <w:qFormat/>
    <w:uiPriority w:val="0"/>
    <w:pPr>
      <w:spacing w:line="360" w:lineRule="auto"/>
      <w:ind w:firstLine="200" w:firstLineChars="200"/>
    </w:pPr>
    <w:rPr>
      <w:kern w:val="0"/>
      <w:sz w:val="24"/>
      <w:szCs w:val="20"/>
      <w:lang w:val="zh-CN"/>
    </w:rPr>
  </w:style>
  <w:style w:type="character" w:customStyle="1" w:styleId="627">
    <w:name w:val="分条 Char"/>
    <w:link w:val="626"/>
    <w:qFormat/>
    <w:locked/>
    <w:uiPriority w:val="0"/>
    <w:rPr>
      <w:sz w:val="24"/>
      <w:lang w:val="zh-CN" w:eastAsia="zh-CN"/>
    </w:rPr>
  </w:style>
  <w:style w:type="paragraph" w:customStyle="1" w:styleId="628">
    <w:name w:val="Char1 Char Char Char"/>
    <w:basedOn w:val="1"/>
    <w:qFormat/>
    <w:uiPriority w:val="0"/>
    <w:pPr>
      <w:widowControl/>
      <w:spacing w:after="160" w:line="240" w:lineRule="exact"/>
      <w:ind w:firstLine="200" w:firstLineChars="200"/>
      <w:jc w:val="left"/>
    </w:pPr>
    <w:rPr>
      <w:szCs w:val="20"/>
    </w:rPr>
  </w:style>
  <w:style w:type="paragraph" w:customStyle="1" w:styleId="629">
    <w:name w:val="p0"/>
    <w:basedOn w:val="1"/>
    <w:qFormat/>
    <w:uiPriority w:val="0"/>
    <w:pPr>
      <w:widowControl/>
    </w:pPr>
    <w:rPr>
      <w:kern w:val="0"/>
      <w:szCs w:val="20"/>
    </w:rPr>
  </w:style>
  <w:style w:type="table" w:customStyle="1" w:styleId="630">
    <w:name w:val="网格型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1">
    <w:name w:val="网格型2"/>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2">
    <w:name w:val="网格型3"/>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3">
    <w:name w:val="网格型4"/>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4">
    <w:name w:val="网格型5"/>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5">
    <w:name w:val="网格型6"/>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7"/>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7">
    <w:name w:val="high-light-bg4"/>
    <w:basedOn w:val="231"/>
    <w:qFormat/>
    <w:uiPriority w:val="0"/>
  </w:style>
  <w:style w:type="paragraph" w:customStyle="1" w:styleId="638">
    <w:name w:val="节"/>
    <w:basedOn w:val="1"/>
    <w:qFormat/>
    <w:uiPriority w:val="0"/>
    <w:pPr>
      <w:spacing w:beforeLines="100" w:afterLines="100" w:line="300" w:lineRule="auto"/>
      <w:jc w:val="center"/>
      <w:outlineLvl w:val="1"/>
    </w:pPr>
    <w:rPr>
      <w:b/>
      <w:bCs/>
      <w:sz w:val="24"/>
    </w:rPr>
  </w:style>
  <w:style w:type="character" w:customStyle="1" w:styleId="639">
    <w:name w:val="章 Char"/>
    <w:link w:val="619"/>
    <w:qFormat/>
    <w:uiPriority w:val="0"/>
    <w:rPr>
      <w:b/>
      <w:bCs/>
      <w:sz w:val="28"/>
      <w:szCs w:val="28"/>
      <w:lang w:val="zh-CN" w:eastAsia="zh-CN"/>
    </w:rPr>
  </w:style>
  <w:style w:type="character" w:customStyle="1" w:styleId="640">
    <w:name w:val="05表头 Char"/>
    <w:link w:val="543"/>
    <w:qFormat/>
    <w:uiPriority w:val="0"/>
    <w:rPr>
      <w:rFonts w:eastAsia="黑体"/>
      <w:szCs w:val="24"/>
      <w:lang w:val="zh-CN" w:eastAsia="zh-CN"/>
    </w:rPr>
  </w:style>
  <w:style w:type="paragraph" w:customStyle="1" w:styleId="641">
    <w:name w:val="04说明"/>
    <w:basedOn w:val="618"/>
    <w:qFormat/>
    <w:uiPriority w:val="0"/>
    <w:pPr>
      <w:spacing w:line="276" w:lineRule="auto"/>
      <w:ind w:firstLine="200" w:firstLineChars="200"/>
    </w:pPr>
    <w:rPr>
      <w:rFonts w:hAnsi="楷体" w:eastAsia="楷体"/>
      <w:sz w:val="21"/>
      <w:szCs w:val="21"/>
    </w:rPr>
  </w:style>
  <w:style w:type="character" w:customStyle="1" w:styleId="642">
    <w:name w:val="表头 Char"/>
    <w:link w:val="528"/>
    <w:qFormat/>
    <w:uiPriority w:val="0"/>
    <w:rPr>
      <w:rFonts w:eastAsia="黑体"/>
      <w:b/>
      <w:szCs w:val="18"/>
      <w:lang w:val="zh-CN" w:eastAsia="zh-CN"/>
    </w:rPr>
  </w:style>
  <w:style w:type="paragraph" w:customStyle="1" w:styleId="643">
    <w:name w:val="表"/>
    <w:basedOn w:val="1"/>
    <w:link w:val="644"/>
    <w:qFormat/>
    <w:uiPriority w:val="0"/>
    <w:pPr>
      <w:spacing w:line="300" w:lineRule="auto"/>
      <w:jc w:val="center"/>
    </w:pPr>
    <w:rPr>
      <w:bCs/>
      <w:kern w:val="0"/>
      <w:sz w:val="20"/>
      <w:szCs w:val="21"/>
      <w:lang w:val="zh-CN"/>
    </w:rPr>
  </w:style>
  <w:style w:type="character" w:customStyle="1" w:styleId="644">
    <w:name w:val="表 Char"/>
    <w:link w:val="643"/>
    <w:qFormat/>
    <w:uiPriority w:val="0"/>
    <w:rPr>
      <w:bCs/>
      <w:szCs w:val="21"/>
      <w:lang w:val="zh-CN" w:eastAsia="zh-CN"/>
    </w:rPr>
  </w:style>
  <w:style w:type="paragraph" w:customStyle="1" w:styleId="645">
    <w:name w:val="13注1"/>
    <w:basedOn w:val="1"/>
    <w:qFormat/>
    <w:uiPriority w:val="0"/>
    <w:pPr>
      <w:spacing w:line="312" w:lineRule="auto"/>
      <w:ind w:left="550" w:leftChars="200" w:hanging="350" w:hangingChars="350"/>
    </w:pPr>
    <w:rPr>
      <w:sz w:val="18"/>
    </w:rPr>
  </w:style>
  <w:style w:type="paragraph" w:customStyle="1" w:styleId="646">
    <w:name w:val="14注2"/>
    <w:basedOn w:val="1"/>
    <w:qFormat/>
    <w:uiPriority w:val="0"/>
    <w:pPr>
      <w:spacing w:line="312" w:lineRule="auto"/>
      <w:ind w:left="500" w:leftChars="350" w:hanging="150" w:hangingChars="150"/>
    </w:pPr>
    <w:rPr>
      <w:sz w:val="18"/>
    </w:rPr>
  </w:style>
  <w:style w:type="paragraph" w:customStyle="1" w:styleId="647">
    <w:name w:val="12公式注"/>
    <w:basedOn w:val="1"/>
    <w:qFormat/>
    <w:uiPriority w:val="0"/>
    <w:pPr>
      <w:spacing w:line="312" w:lineRule="auto"/>
      <w:ind w:left="-50" w:leftChars="-50" w:right="-50" w:rightChars="-50"/>
    </w:pPr>
    <w:rPr>
      <w:sz w:val="24"/>
    </w:rPr>
  </w:style>
  <w:style w:type="character" w:customStyle="1" w:styleId="648">
    <w:name w:val="段 Char"/>
    <w:qFormat/>
    <w:uiPriority w:val="0"/>
    <w:rPr>
      <w:rFonts w:ascii="宋体" w:hAnsi="Times New Roman" w:eastAsia="宋体" w:cs="Times New Roman"/>
      <w:kern w:val="0"/>
      <w:szCs w:val="20"/>
    </w:rPr>
  </w:style>
  <w:style w:type="paragraph" w:customStyle="1" w:styleId="649">
    <w:name w:val="注：（正文）"/>
    <w:basedOn w:val="303"/>
    <w:next w:val="258"/>
    <w:qFormat/>
    <w:uiPriority w:val="0"/>
    <w:pPr>
      <w:numPr>
        <w:ilvl w:val="0"/>
        <w:numId w:val="28"/>
      </w:numPr>
    </w:pPr>
  </w:style>
  <w:style w:type="paragraph" w:customStyle="1" w:styleId="650">
    <w:name w:val="编号列项（三级）"/>
    <w:qFormat/>
    <w:uiPriority w:val="0"/>
    <w:pPr>
      <w:tabs>
        <w:tab w:val="left" w:pos="0"/>
      </w:tabs>
      <w:ind w:left="1678" w:hanging="419"/>
    </w:pPr>
    <w:rPr>
      <w:rFonts w:ascii="宋体" w:hAnsi="Times New Roman" w:eastAsia="宋体" w:cs="Times New Roman"/>
      <w:sz w:val="21"/>
      <w:lang w:val="en-US" w:eastAsia="zh-CN" w:bidi="ar-SA"/>
    </w:rPr>
  </w:style>
  <w:style w:type="paragraph" w:customStyle="1" w:styleId="651">
    <w:name w:val="X.X"/>
    <w:basedOn w:val="260"/>
    <w:link w:val="652"/>
    <w:qFormat/>
    <w:uiPriority w:val="0"/>
    <w:pPr>
      <w:numPr>
        <w:ilvl w:val="0"/>
        <w:numId w:val="0"/>
      </w:numPr>
      <w:spacing w:before="0" w:beforeLines="0" w:after="0" w:afterLines="0"/>
      <w:ind w:left="1418"/>
      <w:jc w:val="both"/>
    </w:pPr>
    <w:rPr>
      <w:sz w:val="20"/>
      <w:szCs w:val="20"/>
      <w:lang w:val="zh-CN"/>
    </w:rPr>
  </w:style>
  <w:style w:type="character" w:customStyle="1" w:styleId="652">
    <w:name w:val="X.X Char"/>
    <w:link w:val="651"/>
    <w:qFormat/>
    <w:uiPriority w:val="0"/>
    <w:rPr>
      <w:rFonts w:ascii="黑体" w:eastAsia="黑体"/>
      <w:lang w:val="zh-CN" w:eastAsia="zh-CN"/>
    </w:rPr>
  </w:style>
  <w:style w:type="character" w:customStyle="1" w:styleId="653">
    <w:name w:val="apple-converted-space"/>
    <w:basedOn w:val="231"/>
    <w:qFormat/>
    <w:uiPriority w:val="0"/>
  </w:style>
  <w:style w:type="paragraph" w:customStyle="1" w:styleId="654">
    <w:name w:val="无间隔1"/>
    <w:qFormat/>
    <w:uiPriority w:val="1"/>
    <w:pPr>
      <w:widowControl w:val="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55">
    <w:name w:val="p17"/>
    <w:basedOn w:val="1"/>
    <w:qFormat/>
    <w:uiPriority w:val="0"/>
    <w:pPr>
      <w:widowControl/>
      <w:ind w:firstLine="420"/>
    </w:pPr>
    <w:rPr>
      <w:rFonts w:ascii="宋体" w:hAnsi="宋体" w:cs="宋体"/>
      <w:kern w:val="0"/>
      <w:szCs w:val="21"/>
    </w:rPr>
  </w:style>
  <w:style w:type="paragraph" w:customStyle="1" w:styleId="656">
    <w:name w:val="p22"/>
    <w:basedOn w:val="1"/>
    <w:qFormat/>
    <w:uiPriority w:val="0"/>
    <w:pPr>
      <w:widowControl/>
      <w:spacing w:before="180" w:line="180" w:lineRule="atLeast"/>
      <w:jc w:val="center"/>
    </w:pPr>
    <w:rPr>
      <w:rFonts w:ascii="宋体" w:hAnsi="宋体" w:cs="宋体"/>
      <w:kern w:val="0"/>
      <w:szCs w:val="21"/>
    </w:rPr>
  </w:style>
  <w:style w:type="paragraph" w:customStyle="1" w:styleId="657">
    <w:name w:val="article title"/>
    <w:basedOn w:val="577"/>
    <w:link w:val="658"/>
    <w:qFormat/>
    <w:uiPriority w:val="99"/>
    <w:pPr>
      <w:topLinePunct w:val="0"/>
      <w:adjustRightInd/>
      <w:spacing w:after="0" w:line="360" w:lineRule="auto"/>
      <w:jc w:val="center"/>
      <w:outlineLvl w:val="0"/>
    </w:pPr>
    <w:rPr>
      <w:rFonts w:ascii="黑体" w:hAnsi="黑体" w:eastAsia="黑体" w:cs="Times New Roman"/>
      <w:color w:val="000000"/>
      <w:sz w:val="28"/>
      <w:szCs w:val="20"/>
      <w:lang w:val="zh-CN"/>
    </w:rPr>
  </w:style>
  <w:style w:type="character" w:customStyle="1" w:styleId="658">
    <w:name w:val="article title Char"/>
    <w:link w:val="657"/>
    <w:qFormat/>
    <w:uiPriority w:val="99"/>
    <w:rPr>
      <w:rFonts w:ascii="黑体" w:hAnsi="黑体" w:eastAsia="黑体"/>
      <w:b/>
      <w:color w:val="000000"/>
      <w:sz w:val="28"/>
      <w:lang w:val="zh-CN" w:eastAsia="en-US"/>
    </w:rPr>
  </w:style>
  <w:style w:type="paragraph" w:customStyle="1" w:styleId="659">
    <w:name w:val="charter title"/>
    <w:basedOn w:val="1"/>
    <w:link w:val="660"/>
    <w:qFormat/>
    <w:uiPriority w:val="99"/>
    <w:pPr>
      <w:spacing w:before="312" w:after="312" w:line="360" w:lineRule="auto"/>
      <w:jc w:val="center"/>
      <w:outlineLvl w:val="1"/>
    </w:pPr>
    <w:rPr>
      <w:rFonts w:ascii="黑体" w:hAnsi="黑体" w:eastAsia="黑体"/>
      <w:b/>
      <w:color w:val="000000"/>
      <w:kern w:val="0"/>
      <w:sz w:val="24"/>
      <w:szCs w:val="20"/>
      <w:lang w:val="zh-CN"/>
    </w:rPr>
  </w:style>
  <w:style w:type="character" w:customStyle="1" w:styleId="660">
    <w:name w:val="charter title Char"/>
    <w:link w:val="659"/>
    <w:qFormat/>
    <w:uiPriority w:val="99"/>
    <w:rPr>
      <w:rFonts w:ascii="黑体" w:hAnsi="黑体" w:eastAsia="黑体"/>
      <w:b/>
      <w:color w:val="000000"/>
      <w:sz w:val="24"/>
      <w:lang w:val="zh-CN" w:eastAsia="zh-CN"/>
    </w:rPr>
  </w:style>
  <w:style w:type="paragraph" w:customStyle="1" w:styleId="661">
    <w:name w:val="Body"/>
    <w:basedOn w:val="1"/>
    <w:link w:val="662"/>
    <w:qFormat/>
    <w:uiPriority w:val="99"/>
    <w:pPr>
      <w:adjustRightInd w:val="0"/>
      <w:spacing w:line="360" w:lineRule="auto"/>
      <w:outlineLvl w:val="2"/>
    </w:pPr>
    <w:rPr>
      <w:color w:val="000000"/>
      <w:kern w:val="0"/>
      <w:sz w:val="24"/>
      <w:szCs w:val="20"/>
      <w:lang w:val="zh-CN"/>
    </w:rPr>
  </w:style>
  <w:style w:type="character" w:customStyle="1" w:styleId="662">
    <w:name w:val="Body Char"/>
    <w:link w:val="661"/>
    <w:qFormat/>
    <w:uiPriority w:val="99"/>
    <w:rPr>
      <w:color w:val="000000"/>
      <w:sz w:val="24"/>
      <w:lang w:val="zh-CN" w:eastAsia="zh-CN"/>
    </w:rPr>
  </w:style>
  <w:style w:type="character" w:customStyle="1" w:styleId="663">
    <w:name w:val="doc_title"/>
    <w:qFormat/>
    <w:uiPriority w:val="0"/>
  </w:style>
  <w:style w:type="paragraph" w:customStyle="1" w:styleId="664">
    <w:name w:val="小标题"/>
    <w:next w:val="1"/>
    <w:link w:val="665"/>
    <w:qFormat/>
    <w:uiPriority w:val="0"/>
    <w:pPr>
      <w:spacing w:afterLines="50"/>
    </w:pPr>
    <w:rPr>
      <w:rFonts w:ascii="宋体" w:hAnsi="宋体" w:eastAsia="宋体" w:cs="Times New Roman"/>
      <w:bCs/>
      <w:color w:val="C00000"/>
      <w:sz w:val="24"/>
      <w:szCs w:val="21"/>
      <w:lang w:val="en-US" w:eastAsia="zh-CN" w:bidi="ar-SA"/>
    </w:rPr>
  </w:style>
  <w:style w:type="character" w:customStyle="1" w:styleId="665">
    <w:name w:val="小标题 Char"/>
    <w:link w:val="664"/>
    <w:qFormat/>
    <w:uiPriority w:val="0"/>
    <w:rPr>
      <w:rFonts w:ascii="宋体" w:hAnsi="宋体"/>
      <w:bCs/>
      <w:color w:val="C00000"/>
      <w:sz w:val="24"/>
      <w:szCs w:val="21"/>
    </w:rPr>
  </w:style>
  <w:style w:type="paragraph" w:customStyle="1" w:styleId="666">
    <w:name w:val="2子系统"/>
    <w:next w:val="1"/>
    <w:qFormat/>
    <w:uiPriority w:val="0"/>
    <w:pPr>
      <w:numPr>
        <w:ilvl w:val="0"/>
        <w:numId w:val="29"/>
      </w:numPr>
      <w:spacing w:beforeLines="50" w:after="468"/>
      <w:outlineLvl w:val="1"/>
    </w:pPr>
    <w:rPr>
      <w:rFonts w:ascii="黑体" w:hAnsi="黑体" w:eastAsia="黑体" w:cs="Times New Roman"/>
      <w:color w:val="C00000"/>
      <w:kern w:val="2"/>
      <w:sz w:val="28"/>
      <w:szCs w:val="28"/>
      <w:lang w:val="en-US" w:eastAsia="zh-CN" w:bidi="ar-SA"/>
    </w:rPr>
  </w:style>
  <w:style w:type="paragraph" w:customStyle="1" w:styleId="667">
    <w:name w:val="3子系统说明"/>
    <w:next w:val="1"/>
    <w:link w:val="668"/>
    <w:qFormat/>
    <w:uiPriority w:val="0"/>
    <w:pPr>
      <w:numPr>
        <w:ilvl w:val="1"/>
        <w:numId w:val="29"/>
      </w:numPr>
      <w:spacing w:after="120"/>
      <w:outlineLvl w:val="2"/>
    </w:pPr>
    <w:rPr>
      <w:rFonts w:ascii="黑体" w:hAnsi="黑体" w:eastAsia="黑体" w:cs="Times New Roman"/>
      <w:bCs/>
      <w:color w:val="C00000"/>
      <w:sz w:val="24"/>
      <w:szCs w:val="21"/>
      <w:lang w:val="en-US" w:eastAsia="zh-CN" w:bidi="ar-SA"/>
    </w:rPr>
  </w:style>
  <w:style w:type="character" w:customStyle="1" w:styleId="668">
    <w:name w:val="3子系统说明 Char"/>
    <w:link w:val="667"/>
    <w:qFormat/>
    <w:uiPriority w:val="0"/>
    <w:rPr>
      <w:rFonts w:ascii="黑体" w:hAnsi="黑体" w:eastAsia="黑体"/>
      <w:bCs/>
      <w:color w:val="C00000"/>
      <w:sz w:val="24"/>
      <w:szCs w:val="21"/>
    </w:rPr>
  </w:style>
  <w:style w:type="paragraph" w:customStyle="1" w:styleId="669">
    <w:name w:val="Style14"/>
    <w:basedOn w:val="1"/>
    <w:link w:val="670"/>
    <w:qFormat/>
    <w:uiPriority w:val="0"/>
    <w:pPr>
      <w:widowControl/>
      <w:numPr>
        <w:ilvl w:val="0"/>
        <w:numId w:val="30"/>
      </w:numPr>
      <w:spacing w:after="200" w:line="360" w:lineRule="auto"/>
      <w:ind w:firstLine="0"/>
      <w:jc w:val="left"/>
    </w:pPr>
    <w:rPr>
      <w:rFonts w:ascii="宋体" w:hAnsi="宋体"/>
      <w:color w:val="000000"/>
      <w:kern w:val="0"/>
      <w:sz w:val="24"/>
      <w:lang w:val="zh-CN"/>
    </w:rPr>
  </w:style>
  <w:style w:type="character" w:customStyle="1" w:styleId="670">
    <w:name w:val="Style14 Char"/>
    <w:link w:val="669"/>
    <w:qFormat/>
    <w:uiPriority w:val="0"/>
    <w:rPr>
      <w:rFonts w:ascii="宋体" w:hAnsi="宋体"/>
      <w:color w:val="000000"/>
      <w:sz w:val="24"/>
      <w:szCs w:val="24"/>
      <w:lang w:val="zh-CN" w:eastAsia="zh-CN"/>
    </w:rPr>
  </w:style>
  <w:style w:type="paragraph" w:customStyle="1" w:styleId="671">
    <w:name w:val="修订2"/>
    <w:hidden/>
    <w:semiHidden/>
    <w:qFormat/>
    <w:uiPriority w:val="99"/>
    <w:rPr>
      <w:rFonts w:ascii="Calibri" w:hAnsi="Calibri" w:eastAsia="宋体" w:cs="Times New Roman"/>
      <w:kern w:val="2"/>
      <w:sz w:val="21"/>
      <w:szCs w:val="22"/>
      <w:lang w:val="en-US" w:eastAsia="zh-CN" w:bidi="ar-SA"/>
    </w:rPr>
  </w:style>
  <w:style w:type="paragraph" w:customStyle="1" w:styleId="672">
    <w:name w:val="标题 21"/>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customStyle="1" w:styleId="673">
    <w:name w:val="样式 标题 1 + 华文新魏 二号 黑色"/>
    <w:basedOn w:val="3"/>
    <w:qFormat/>
    <w:uiPriority w:val="0"/>
    <w:pPr>
      <w:spacing w:beforeLines="50" w:afterLines="50" w:line="240" w:lineRule="auto"/>
      <w:jc w:val="center"/>
    </w:pPr>
    <w:rPr>
      <w:rFonts w:ascii="华文新魏" w:hAnsi="华文新魏" w:eastAsia="华文新魏" w:cs="MS Gothic"/>
      <w:b w:val="0"/>
      <w:bCs w:val="0"/>
      <w:color w:val="000000"/>
      <w:kern w:val="0"/>
      <w:sz w:val="40"/>
      <w:lang w:val="zh-CN"/>
    </w:rPr>
  </w:style>
  <w:style w:type="paragraph" w:customStyle="1" w:styleId="674">
    <w:name w:val="目录 11"/>
    <w:basedOn w:val="1"/>
    <w:next w:val="1"/>
    <w:qFormat/>
    <w:uiPriority w:val="39"/>
    <w:pPr>
      <w:spacing w:before="120" w:after="120"/>
      <w:jc w:val="left"/>
    </w:pPr>
    <w:rPr>
      <w:rFonts w:ascii="Calibri" w:hAnsi="Calibri"/>
      <w:b/>
      <w:bCs/>
      <w:caps/>
      <w:sz w:val="20"/>
      <w:szCs w:val="20"/>
    </w:rPr>
  </w:style>
  <w:style w:type="paragraph" w:customStyle="1" w:styleId="675">
    <w:name w:val="目录 21"/>
    <w:basedOn w:val="1"/>
    <w:next w:val="1"/>
    <w:qFormat/>
    <w:uiPriority w:val="39"/>
    <w:pPr>
      <w:ind w:left="210"/>
      <w:jc w:val="left"/>
    </w:pPr>
    <w:rPr>
      <w:rFonts w:ascii="Calibri" w:hAnsi="Calibri"/>
      <w:smallCaps/>
      <w:sz w:val="20"/>
      <w:szCs w:val="20"/>
    </w:rPr>
  </w:style>
  <w:style w:type="paragraph" w:customStyle="1" w:styleId="676">
    <w:name w:val="正文文本缩进 21"/>
    <w:basedOn w:val="1"/>
    <w:qFormat/>
    <w:uiPriority w:val="0"/>
    <w:pPr>
      <w:adjustRightInd w:val="0"/>
      <w:spacing w:line="240" w:lineRule="atLeast"/>
      <w:ind w:firstLine="420"/>
      <w:textAlignment w:val="baseline"/>
    </w:pPr>
    <w:rPr>
      <w:rFonts w:eastAsia="楷体_GB2312"/>
      <w:szCs w:val="20"/>
    </w:rPr>
  </w:style>
  <w:style w:type="paragraph" w:customStyle="1" w:styleId="677">
    <w:name w:val="图"/>
    <w:basedOn w:val="40"/>
    <w:next w:val="1"/>
    <w:link w:val="691"/>
    <w:qFormat/>
    <w:uiPriority w:val="0"/>
    <w:pPr>
      <w:numPr>
        <w:ilvl w:val="0"/>
        <w:numId w:val="31"/>
      </w:numPr>
      <w:spacing w:after="0"/>
      <w:jc w:val="center"/>
    </w:pPr>
    <w:rPr>
      <w:color w:val="000000"/>
      <w:kern w:val="0"/>
      <w:sz w:val="24"/>
      <w:lang w:val="zh-CN"/>
    </w:rPr>
  </w:style>
  <w:style w:type="paragraph" w:customStyle="1" w:styleId="678">
    <w:name w:val="目录 31"/>
    <w:basedOn w:val="1"/>
    <w:next w:val="1"/>
    <w:unhideWhenUsed/>
    <w:qFormat/>
    <w:uiPriority w:val="39"/>
    <w:pPr>
      <w:ind w:left="420"/>
      <w:jc w:val="left"/>
    </w:pPr>
    <w:rPr>
      <w:rFonts w:ascii="Calibri" w:hAnsi="Calibri"/>
      <w:i/>
      <w:iCs/>
      <w:sz w:val="20"/>
      <w:szCs w:val="20"/>
    </w:rPr>
  </w:style>
  <w:style w:type="paragraph" w:customStyle="1" w:styleId="679">
    <w:name w:val="目录 41"/>
    <w:basedOn w:val="1"/>
    <w:next w:val="1"/>
    <w:unhideWhenUsed/>
    <w:qFormat/>
    <w:uiPriority w:val="39"/>
    <w:pPr>
      <w:ind w:left="630"/>
      <w:jc w:val="left"/>
    </w:pPr>
    <w:rPr>
      <w:rFonts w:ascii="Calibri" w:hAnsi="Calibri"/>
      <w:sz w:val="18"/>
      <w:szCs w:val="18"/>
    </w:rPr>
  </w:style>
  <w:style w:type="paragraph" w:customStyle="1" w:styleId="680">
    <w:name w:val="目录 51"/>
    <w:basedOn w:val="1"/>
    <w:next w:val="1"/>
    <w:unhideWhenUsed/>
    <w:qFormat/>
    <w:uiPriority w:val="39"/>
    <w:pPr>
      <w:ind w:left="840"/>
      <w:jc w:val="left"/>
    </w:pPr>
    <w:rPr>
      <w:rFonts w:ascii="Calibri" w:hAnsi="Calibri"/>
      <w:sz w:val="18"/>
      <w:szCs w:val="18"/>
    </w:rPr>
  </w:style>
  <w:style w:type="paragraph" w:customStyle="1" w:styleId="681">
    <w:name w:val="目录 61"/>
    <w:basedOn w:val="1"/>
    <w:next w:val="1"/>
    <w:unhideWhenUsed/>
    <w:qFormat/>
    <w:uiPriority w:val="39"/>
    <w:pPr>
      <w:ind w:left="1050"/>
      <w:jc w:val="left"/>
    </w:pPr>
    <w:rPr>
      <w:rFonts w:ascii="Calibri" w:hAnsi="Calibri"/>
      <w:sz w:val="18"/>
      <w:szCs w:val="18"/>
    </w:rPr>
  </w:style>
  <w:style w:type="paragraph" w:customStyle="1" w:styleId="682">
    <w:name w:val="目录 71"/>
    <w:basedOn w:val="1"/>
    <w:next w:val="1"/>
    <w:unhideWhenUsed/>
    <w:qFormat/>
    <w:uiPriority w:val="39"/>
    <w:pPr>
      <w:ind w:left="1260"/>
      <w:jc w:val="left"/>
    </w:pPr>
    <w:rPr>
      <w:rFonts w:ascii="Calibri" w:hAnsi="Calibri"/>
      <w:sz w:val="18"/>
      <w:szCs w:val="18"/>
    </w:rPr>
  </w:style>
  <w:style w:type="paragraph" w:customStyle="1" w:styleId="683">
    <w:name w:val="目录 81"/>
    <w:basedOn w:val="1"/>
    <w:next w:val="1"/>
    <w:unhideWhenUsed/>
    <w:qFormat/>
    <w:uiPriority w:val="39"/>
    <w:pPr>
      <w:ind w:left="1470"/>
      <w:jc w:val="left"/>
    </w:pPr>
    <w:rPr>
      <w:rFonts w:ascii="Calibri" w:hAnsi="Calibri"/>
      <w:sz w:val="18"/>
      <w:szCs w:val="18"/>
    </w:rPr>
  </w:style>
  <w:style w:type="paragraph" w:customStyle="1" w:styleId="684">
    <w:name w:val="目录 91"/>
    <w:basedOn w:val="1"/>
    <w:next w:val="1"/>
    <w:unhideWhenUsed/>
    <w:qFormat/>
    <w:uiPriority w:val="39"/>
    <w:pPr>
      <w:ind w:left="1680"/>
      <w:jc w:val="left"/>
    </w:pPr>
    <w:rPr>
      <w:rFonts w:ascii="Calibri" w:hAnsi="Calibri"/>
      <w:sz w:val="18"/>
      <w:szCs w:val="18"/>
    </w:rPr>
  </w:style>
  <w:style w:type="table" w:customStyle="1" w:styleId="685">
    <w:name w:val="网格型11"/>
    <w:basedOn w:val="88"/>
    <w:qFormat/>
    <w:uiPriority w:val="59"/>
    <w:pPr>
      <w:widowControl w:val="0"/>
      <w:jc w:val="both"/>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86">
    <w:name w:val="发布部门"/>
    <w:next w:val="1"/>
    <w:qFormat/>
    <w:uiPriority w:val="0"/>
    <w:pPr>
      <w:framePr w:w="7433" w:h="585" w:hRule="exact" w:hSpace="180" w:vSpace="180" w:wrap="around" w:vAnchor="margin" w:hAnchor="margin" w:xAlign="center" w:y="14401" w:anchorLock="1"/>
      <w:spacing w:before="340" w:after="330" w:line="576" w:lineRule="auto"/>
      <w:jc w:val="center"/>
    </w:pPr>
    <w:rPr>
      <w:rFonts w:ascii="宋体" w:hAnsi="Times New Roman" w:eastAsia="宋体" w:cs="Times New Roman"/>
      <w:b/>
      <w:spacing w:val="20"/>
      <w:w w:val="135"/>
      <w:kern w:val="2"/>
      <w:sz w:val="36"/>
      <w:szCs w:val="24"/>
      <w:lang w:val="en-US" w:eastAsia="zh-CN" w:bidi="ar-SA"/>
    </w:rPr>
  </w:style>
  <w:style w:type="character" w:customStyle="1" w:styleId="687">
    <w:name w:val="trans"/>
    <w:basedOn w:val="231"/>
    <w:qFormat/>
    <w:uiPriority w:val="0"/>
  </w:style>
  <w:style w:type="character" w:customStyle="1" w:styleId="688">
    <w:name w:val="lijuyuanxing"/>
    <w:basedOn w:val="231"/>
    <w:qFormat/>
    <w:uiPriority w:val="0"/>
  </w:style>
  <w:style w:type="character" w:customStyle="1" w:styleId="689">
    <w:name w:val="书籍标题2"/>
    <w:qFormat/>
    <w:uiPriority w:val="33"/>
    <w:rPr>
      <w:b/>
      <w:bCs/>
      <w:smallCaps/>
      <w:spacing w:val="5"/>
    </w:rPr>
  </w:style>
  <w:style w:type="paragraph" w:customStyle="1" w:styleId="690">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1">
    <w:name w:val="图 Char"/>
    <w:link w:val="677"/>
    <w:qFormat/>
    <w:uiPriority w:val="0"/>
    <w:rPr>
      <w:color w:val="000000"/>
      <w:sz w:val="24"/>
      <w:szCs w:val="24"/>
      <w:lang w:val="zh-CN" w:eastAsia="zh-CN"/>
    </w:rPr>
  </w:style>
  <w:style w:type="character" w:customStyle="1" w:styleId="692">
    <w:name w:val="标题 2 Char1"/>
    <w:semiHidden/>
    <w:qFormat/>
    <w:uiPriority w:val="9"/>
    <w:rPr>
      <w:rFonts w:ascii="Calibri Light" w:hAnsi="Calibri Light" w:eastAsia="宋体" w:cs="Times New Roman"/>
      <w:b/>
      <w:bCs/>
      <w:sz w:val="32"/>
      <w:szCs w:val="32"/>
    </w:rPr>
  </w:style>
  <w:style w:type="paragraph" w:customStyle="1" w:styleId="693">
    <w:name w:val="款"/>
    <w:basedOn w:val="530"/>
    <w:qFormat/>
    <w:uiPriority w:val="0"/>
    <w:pPr>
      <w:numPr>
        <w:numId w:val="0"/>
      </w:numPr>
      <w:autoSpaceDE w:val="0"/>
      <w:autoSpaceDN w:val="0"/>
      <w:ind w:left="480"/>
      <w:contextualSpacing/>
      <w:jc w:val="center"/>
      <w:textAlignment w:val="center"/>
    </w:pPr>
  </w:style>
  <w:style w:type="character" w:customStyle="1" w:styleId="694">
    <w:name w:val="span_stdname1"/>
    <w:basedOn w:val="231"/>
    <w:qFormat/>
    <w:uiPriority w:val="0"/>
  </w:style>
  <w:style w:type="paragraph" w:customStyle="1" w:styleId="695">
    <w:name w:val="条文"/>
    <w:basedOn w:val="1"/>
    <w:qFormat/>
    <w:uiPriority w:val="0"/>
    <w:pPr>
      <w:spacing w:beforeLines="100" w:line="288" w:lineRule="auto"/>
    </w:pPr>
    <w:rPr>
      <w:sz w:val="24"/>
      <w:szCs w:val="22"/>
    </w:rPr>
  </w:style>
  <w:style w:type="paragraph" w:customStyle="1" w:styleId="696">
    <w:name w:val="TOC 标题21"/>
    <w:basedOn w:val="3"/>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lang w:val="zh-CN"/>
    </w:rPr>
  </w:style>
  <w:style w:type="paragraph" w:customStyle="1" w:styleId="697">
    <w:name w:val="标准标志"/>
    <w:next w:val="1"/>
    <w:qFormat/>
    <w:uiPriority w:val="0"/>
    <w:pPr>
      <w:shd w:val="solid" w:color="FFFFFF" w:fill="FFFFFF"/>
      <w:spacing w:line="240" w:lineRule="atLeast"/>
      <w:jc w:val="right"/>
    </w:pPr>
    <w:rPr>
      <w:rFonts w:ascii="Calibri" w:hAnsi="Calibri" w:eastAsia="宋体" w:cs="Times New Roman"/>
      <w:b/>
      <w:bCs/>
      <w:w w:val="130"/>
      <w:sz w:val="96"/>
      <w:szCs w:val="96"/>
      <w:lang w:val="en-US" w:eastAsia="zh-CN" w:bidi="ar-SA"/>
    </w:rPr>
  </w:style>
  <w:style w:type="character" w:customStyle="1" w:styleId="698">
    <w:name w:val="4-1   黑体 Char"/>
    <w:link w:val="699"/>
    <w:qFormat/>
    <w:uiPriority w:val="0"/>
    <w:rPr>
      <w:rFonts w:ascii="黑体" w:hAnsi="黑体" w:eastAsia="黑体" w:cs="宋体"/>
      <w:color w:val="000000"/>
      <w:sz w:val="21"/>
      <w:szCs w:val="21"/>
    </w:rPr>
  </w:style>
  <w:style w:type="paragraph" w:customStyle="1" w:styleId="699">
    <w:name w:val="4-1   黑体"/>
    <w:basedOn w:val="258"/>
    <w:link w:val="698"/>
    <w:qFormat/>
    <w:uiPriority w:val="0"/>
    <w:pPr>
      <w:widowControl w:val="0"/>
      <w:overflowPunct w:val="0"/>
      <w:autoSpaceDE w:val="0"/>
      <w:autoSpaceDN w:val="0"/>
      <w:spacing w:line="309" w:lineRule="exact"/>
      <w:ind w:firstLine="0" w:firstLineChars="0"/>
    </w:pPr>
    <w:rPr>
      <w:rFonts w:ascii="黑体" w:hAnsi="黑体" w:eastAsia="黑体" w:cs="宋体"/>
      <w:color w:val="000000"/>
      <w:szCs w:val="21"/>
    </w:rPr>
  </w:style>
  <w:style w:type="paragraph" w:customStyle="1" w:styleId="700">
    <w:name w:val="2-正文新"/>
    <w:basedOn w:val="1"/>
    <w:qFormat/>
    <w:uiPriority w:val="0"/>
    <w:pPr>
      <w:spacing w:line="309" w:lineRule="exact"/>
      <w:ind w:firstLine="420" w:firstLineChars="20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40</Pages>
  <Words>303</Words>
  <Characters>373</Characters>
  <Lines>245</Lines>
  <Paragraphs>69</Paragraphs>
  <TotalTime>10</TotalTime>
  <ScaleCrop>false</ScaleCrop>
  <LinksUpToDate>false</LinksUpToDate>
  <CharactersWithSpaces>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2022-12-08T08:27:00Z</dcterms:created>
  <dc:creator>User</dc:creator>
  <cp:lastModifiedBy>熊大</cp:lastModifiedBy>
  <cp:lastPrinted>2022-12-08T09:09:00Z</cp:lastPrinted>
  <dcterms:modified xsi:type="dcterms:W3CDTF">2026-07-09T12:43:20Z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条文说明标记">
    <vt:lpwstr>无</vt:lpwstr>
  </property>
  <property fmtid="{D5CDD505-2E9C-101B-9397-08002B2CF9AE}" pid="3" name="文件标记">
    <vt:lpwstr>蓝元软件</vt:lpwstr>
  </property>
  <property fmtid="{D5CDD505-2E9C-101B-9397-08002B2CF9AE}" pid="4" name="标准版本">
    <vt:lpwstr>2020</vt:lpwstr>
  </property>
  <property fmtid="{D5CDD505-2E9C-101B-9397-08002B2CF9AE}" pid="5" name="ICS">
    <vt:lpwstr>ICS</vt:lpwstr>
  </property>
  <property fmtid="{D5CDD505-2E9C-101B-9397-08002B2CF9AE}" pid="6" name="CCS">
    <vt:lpwstr>CCS</vt:lpwstr>
  </property>
  <property fmtid="{D5CDD505-2E9C-101B-9397-08002B2CF9AE}" pid="7" name="BAH">
    <vt:lpwstr>备案号：</vt:lpwstr>
  </property>
  <property fmtid="{D5CDD505-2E9C-101B-9397-08002B2CF9AE}" pid="8" name="BT">
    <vt:lpwstr>××（地方名称）地方标准</vt:lpwstr>
  </property>
  <property fmtid="{D5CDD505-2E9C-101B-9397-08002B2CF9AE}" pid="9" name="BZBH">
    <vt:lpwstr>DB</vt:lpwstr>
  </property>
  <property fmtid="{D5CDD505-2E9C-101B-9397-08002B2CF9AE}" pid="10" name="TDBH">
    <vt:lpwstr>代替 DB</vt:lpwstr>
  </property>
  <property fmtid="{D5CDD505-2E9C-101B-9397-08002B2CF9AE}" pid="11" name="BZMC">
    <vt:lpwstr>标准名称</vt:lpwstr>
  </property>
  <property fmtid="{D5CDD505-2E9C-101B-9397-08002B2CF9AE}" pid="12" name="YWMC">
    <vt:lpwstr>英文名称</vt:lpwstr>
  </property>
  <property fmtid="{D5CDD505-2E9C-101B-9397-08002B2CF9AE}" pid="13" name="CBCD">
    <vt:lpwstr>（与国际标准一致性程度的标识）</vt:lpwstr>
  </property>
  <property fmtid="{D5CDD505-2E9C-101B-9397-08002B2CF9AE}" pid="14" name="WGLB">
    <vt:lpwstr>（不设文稿类别）</vt:lpwstr>
  </property>
  <property fmtid="{D5CDD505-2E9C-101B-9397-08002B2CF9AE}" pid="15" name="FBRQ">
    <vt:lpwstr>20XX—XX—XX</vt:lpwstr>
  </property>
  <property fmtid="{D5CDD505-2E9C-101B-9397-08002B2CF9AE}" pid="16" name="SSRQ">
    <vt:lpwstr>20XX—XX—XX</vt:lpwstr>
  </property>
  <property fmtid="{D5CDD505-2E9C-101B-9397-08002B2CF9AE}" pid="17" name="BZLX">
    <vt:lpwstr>DB</vt:lpwstr>
  </property>
  <property fmtid="{D5CDD505-2E9C-101B-9397-08002B2CF9AE}" pid="18" name="标准类型">
    <vt:lpwstr>DB</vt:lpwstr>
  </property>
  <property fmtid="{D5CDD505-2E9C-101B-9397-08002B2CF9AE}" pid="19" name="FBDW">
    <vt:lpwstr>××××（地方标准发布部门名称）</vt:lpwstr>
  </property>
  <property fmtid="{D5CDD505-2E9C-101B-9397-08002B2CF9AE}" pid="20" name="IMAGE">
    <vt:lpwstr/>
  </property>
  <property fmtid="{D5CDD505-2E9C-101B-9397-08002B2CF9AE}" pid="21" name="KSOProductBuildVer">
    <vt:lpwstr>2052-12.1.0.26895</vt:lpwstr>
  </property>
  <property fmtid="{D5CDD505-2E9C-101B-9397-08002B2CF9AE}" pid="22" name="ICV">
    <vt:lpwstr>45B1DC091F514FEBBE4FFD18235062D7_13</vt:lpwstr>
  </property>
  <property fmtid="{D5CDD505-2E9C-101B-9397-08002B2CF9AE}" pid="23" name="KSOTemplateDocerSaveRecord">
    <vt:lpwstr>eyJoZGlkIjoiMjYwMDM1YzE4NjY3MzEwMTM5ZjliNGFkMTJjZDQxZmQiLCJ1c2VySWQiOiIxMjAxNzAxNTUzIn0=</vt:lpwstr>
  </property>
</Properties>
</file>