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pPr>
      <w:bookmarkStart w:id="123" w:name="_GoBack"/>
      <w:bookmarkEnd w:id="123"/>
    </w:p>
    <w:p>
      <w:pPr>
        <w:snapToGrid w:val="0"/>
        <w:spacing w:line="360" w:lineRule="auto"/>
        <w:jc w:val="center"/>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pPr>
    </w:p>
    <w:p>
      <w:pPr>
        <w:snapToGrid w:val="0"/>
        <w:spacing w:line="360" w:lineRule="auto"/>
        <w:jc w:val="center"/>
        <w:rPr>
          <w:rFonts w:hint="default" w:ascii="Times New Roman" w:hAnsi="Times New Roman" w:cs="Times New Roman" w:eastAsiaTheme="minorEastAsia"/>
          <w:b/>
          <w:color w:val="000000" w:themeColor="text1"/>
          <w:sz w:val="48"/>
          <w:szCs w:val="48"/>
          <w:highlight w:val="none"/>
          <w:lang w:val="zh-TW" w:eastAsia="zh-TW" w:bidi="zh-TW"/>
          <w14:textFill>
            <w14:solidFill>
              <w14:schemeClr w14:val="tx1"/>
            </w14:solidFill>
          </w14:textFill>
        </w:rPr>
      </w:pPr>
      <w:r>
        <w:rPr>
          <w:rFonts w:hint="default" w:ascii="Times New Roman" w:hAnsi="Times New Roman" w:cs="Times New Roman" w:eastAsiaTheme="minorEastAsia"/>
          <w:b/>
          <w:color w:val="000000" w:themeColor="text1"/>
          <w:sz w:val="48"/>
          <w:szCs w:val="48"/>
          <w:highlight w:val="none"/>
          <w:lang w:val="zh-TW" w:eastAsia="zh-TW" w:bidi="zh-TW"/>
          <w14:textFill>
            <w14:solidFill>
              <w14:schemeClr w14:val="tx1"/>
            </w14:solidFill>
          </w14:textFill>
        </w:rPr>
        <w:t>武汉市预拌混凝土厂站智能化</w:t>
      </w:r>
    </w:p>
    <w:p>
      <w:pPr>
        <w:snapToGrid w:val="0"/>
        <w:spacing w:line="360" w:lineRule="auto"/>
        <w:jc w:val="center"/>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pPr>
      <w:r>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t>技术导则</w:t>
      </w:r>
    </w:p>
    <w:p>
      <w:pPr>
        <w:snapToGrid w:val="0"/>
        <w:spacing w:line="360" w:lineRule="auto"/>
        <w:jc w:val="center"/>
        <w:rPr>
          <w:rFonts w:hint="eastAsia" w:ascii="Times New Roman" w:hAnsi="Times New Roman" w:cs="Times New Roman" w:eastAsiaTheme="minorEastAsia"/>
          <w:b/>
          <w:color w:val="000000" w:themeColor="text1"/>
          <w:sz w:val="32"/>
          <w:szCs w:val="32"/>
          <w:highlight w:val="none"/>
          <w:lang w:val="zh-TW" w:eastAsia="zh-CN" w:bidi="zh-TW"/>
          <w14:textFill>
            <w14:solidFill>
              <w14:schemeClr w14:val="tx1"/>
            </w14:solidFill>
          </w14:textFill>
        </w:rPr>
      </w:pPr>
      <w:r>
        <w:rPr>
          <w:rFonts w:hint="eastAsia" w:cs="Times New Roman" w:eastAsiaTheme="minorEastAsia"/>
          <w:b/>
          <w:color w:val="000000" w:themeColor="text1"/>
          <w:sz w:val="32"/>
          <w:szCs w:val="32"/>
          <w:highlight w:val="none"/>
          <w:lang w:val="zh-TW" w:eastAsia="zh-CN" w:bidi="zh-TW"/>
          <w14:textFill>
            <w14:solidFill>
              <w14:schemeClr w14:val="tx1"/>
            </w14:solidFill>
          </w14:textFill>
        </w:rPr>
        <w:t>（征求意见稿）</w:t>
      </w:r>
    </w:p>
    <w:p>
      <w:pPr>
        <w:snapToGrid w:val="0"/>
        <w:spacing w:line="360" w:lineRule="auto"/>
        <w:jc w:val="center"/>
        <w:rPr>
          <w:rFonts w:hint="default" w:ascii="Times New Roman" w:hAnsi="Times New Roman" w:cs="Times New Roman" w:eastAsiaTheme="minorEastAsia"/>
          <w:b/>
          <w:color w:val="000000" w:themeColor="text1"/>
          <w:sz w:val="48"/>
          <w:szCs w:val="48"/>
          <w:highlight w:val="none"/>
          <w:lang w:val="zh-TW" w:bidi="zh-TW"/>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202</w:t>
      </w:r>
      <w:r>
        <w:rPr>
          <w:rFonts w:hint="eastAsia" w:cs="Times New Roman" w:eastAsiaTheme="minorEastAsia"/>
          <w:color w:val="000000" w:themeColor="text1"/>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highlight w:val="none"/>
          <w14:textFill>
            <w14:solidFill>
              <w14:schemeClr w14:val="tx1"/>
            </w14:solidFill>
          </w14:textFill>
        </w:rPr>
        <w:t>年</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月</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日发布                                202</w:t>
      </w:r>
      <w:r>
        <w:rPr>
          <w:rFonts w:hint="eastAsia" w:cs="Times New Roman" w:eastAsiaTheme="minorEastAsia"/>
          <w:color w:val="000000" w:themeColor="text1"/>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highlight w:val="none"/>
          <w14:textFill>
            <w14:solidFill>
              <w14:schemeClr w14:val="tx1"/>
            </w14:solidFill>
          </w14:textFill>
        </w:rPr>
        <w:t>年</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月</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日实施</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 xml:space="preserve">  </w:t>
      </w:r>
    </w:p>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武汉市自然资源和城乡建设局</w:t>
      </w:r>
    </w:p>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p>
      <w:pPr>
        <w:jc w:val="center"/>
        <w:rPr>
          <w:rFonts w:hint="default" w:ascii="Times New Roman" w:hAnsi="Times New Roman" w:cs="Times New Roman" w:eastAsiaTheme="minorEastAsia"/>
          <w:color w:val="000000" w:themeColor="text1"/>
          <w:highlight w:val="none"/>
          <w14:textFill>
            <w14:solidFill>
              <w14:schemeClr w14:val="tx1"/>
            </w14:solidFill>
          </w14:textFill>
        </w:rPr>
        <w:sectPr>
          <w:headerReference r:id="rId5" w:type="default"/>
          <w:pgSz w:w="11900" w:h="16840"/>
          <w:pgMar w:top="1463" w:right="1264" w:bottom="1939" w:left="1729" w:header="1032" w:footer="850" w:gutter="0"/>
          <w:pgNumType w:fmt="decimal" w:start="1"/>
          <w:cols w:space="0" w:num="1"/>
          <w:rtlGutter w:val="0"/>
          <w:docGrid w:linePitch="360" w:charSpace="0"/>
        </w:sectPr>
      </w:pPr>
    </w:p>
    <w:p>
      <w:pPr>
        <w:jc w:val="both"/>
        <w:rPr>
          <w:rFonts w:hint="default" w:ascii="Times New Roman" w:hAnsi="Times New Roman" w:cs="Times New Roman" w:eastAsiaTheme="minorEastAsia"/>
          <w:color w:val="000000" w:themeColor="text1"/>
          <w:highlight w:val="none"/>
          <w14:textFill>
            <w14:solidFill>
              <w14:schemeClr w14:val="tx1"/>
            </w14:solidFill>
          </w14:textFill>
        </w:rPr>
        <w:sectPr>
          <w:pgSz w:w="11900" w:h="16840"/>
          <w:pgMar w:top="1463" w:right="1264" w:bottom="1939" w:left="1729" w:header="1032" w:footer="850" w:gutter="0"/>
          <w:pgNumType w:fmt="decimal" w:start="1"/>
          <w:cols w:space="0" w:num="1"/>
          <w:rtlGutter w:val="0"/>
          <w:docGrid w:linePitch="360" w:charSpace="0"/>
        </w:sectPr>
      </w:pPr>
    </w:p>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p>
      <w:pPr>
        <w:snapToGrid w:val="0"/>
        <w:spacing w:line="360" w:lineRule="auto"/>
        <w:jc w:val="center"/>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前  言</w:t>
      </w:r>
    </w:p>
    <w:p>
      <w:pPr>
        <w:snapToGrid w:val="0"/>
        <w:spacing w:line="360" w:lineRule="auto"/>
        <w:ind w:firstLine="400" w:firstLineChars="200"/>
        <w:jc w:val="both"/>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pP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根据武汉市城建局《关于下达202</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3-2024</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年科技项目计划的通知》（【202</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3</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2260</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号 ）的要求，</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进一步落实湖北省住建厅</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《关于推动预拌混凝土行业高质量发展的意见》（</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鄂建文</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2022</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31</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号 ）的要求，有效提升武汉市预拌混凝土行业</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智能化</w:t>
      </w:r>
      <w:r>
        <w:rPr>
          <w:rFonts w:hint="default" w:ascii="Times New Roman" w:hAnsi="Times New Roman" w:cs="Times New Roman" w:eastAsiaTheme="minorEastAsia"/>
          <w:color w:val="000000" w:themeColor="text1"/>
          <w:sz w:val="20"/>
          <w:szCs w:val="20"/>
          <w:highlight w:val="none"/>
          <w:lang w:val="zh-TW" w:bidi="zh-TW"/>
          <w14:textFill>
            <w14:solidFill>
              <w14:schemeClr w14:val="tx1"/>
            </w14:solidFill>
          </w14:textFill>
        </w:rPr>
        <w:t>生产水平，编制组经广泛调查研究，认真总结实践经验，参考有关国内外先进标准规范，参照湖北省及武汉市有关政策文件，并在广泛征求意见的基础上，编制本导则。</w:t>
      </w:r>
    </w:p>
    <w:p>
      <w:pPr>
        <w:pStyle w:val="34"/>
        <w:spacing w:line="458" w:lineRule="exact"/>
        <w:ind w:firstLine="48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本导则的主要内容有：1总则、2术语、3</w:t>
      </w:r>
      <w: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t>基础</w:t>
      </w:r>
      <w:r>
        <w:rPr>
          <w:rFonts w:hint="default" w:ascii="Times New Roman" w:hAnsi="Times New Roman" w:cs="Times New Roman" w:eastAsiaTheme="minorEastAsia"/>
          <w:color w:val="000000" w:themeColor="text1"/>
          <w:highlight w:val="none"/>
          <w14:textFill>
            <w14:solidFill>
              <w14:schemeClr w14:val="tx1"/>
            </w14:solidFill>
          </w14:textFill>
        </w:rPr>
        <w:t>规定、4</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销售管理</w:t>
      </w:r>
      <w:r>
        <w:rPr>
          <w:rFonts w:hint="default" w:ascii="Times New Roman" w:hAnsi="Times New Roman" w:cs="Times New Roman" w:eastAsiaTheme="minorEastAsia"/>
          <w:color w:val="000000" w:themeColor="text1"/>
          <w:highlight w:val="none"/>
          <w14:textFill>
            <w14:solidFill>
              <w14:schemeClr w14:val="tx1"/>
            </w14:solidFill>
          </w14:textFill>
        </w:rPr>
        <w:t>、5</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物资管理</w:t>
      </w:r>
      <w:r>
        <w:rPr>
          <w:rFonts w:hint="default" w:ascii="Times New Roman" w:hAnsi="Times New Roman" w:cs="Times New Roman" w:eastAsiaTheme="minorEastAsia"/>
          <w:color w:val="000000" w:themeColor="text1"/>
          <w:highlight w:val="none"/>
          <w14:textFill>
            <w14:solidFill>
              <w14:schemeClr w14:val="tx1"/>
            </w14:solidFill>
          </w14:textFill>
        </w:rPr>
        <w:t>、6</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生产管理</w:t>
      </w:r>
      <w:r>
        <w:rPr>
          <w:rFonts w:hint="default" w:ascii="Times New Roman" w:hAnsi="Times New Roman" w:cs="Times New Roman" w:eastAsiaTheme="minorEastAsia"/>
          <w:color w:val="000000" w:themeColor="text1"/>
          <w:highlight w:val="none"/>
          <w14:textFill>
            <w14:solidFill>
              <w14:schemeClr w14:val="tx1"/>
            </w14:solidFill>
          </w14:textFill>
        </w:rPr>
        <w:t>、7</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环境与安全、8质量管理</w:t>
      </w: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9财务及报表</w:t>
      </w: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10前沿技术、11分类评价</w:t>
      </w:r>
      <w:r>
        <w:rPr>
          <w:rFonts w:hint="default" w:ascii="Times New Roman" w:hAnsi="Times New Roman" w:cs="Times New Roman" w:eastAsiaTheme="minorEastAsia"/>
          <w:color w:val="000000" w:themeColor="text1"/>
          <w:highlight w:val="none"/>
          <w14:textFill>
            <w14:solidFill>
              <w14:schemeClr w14:val="tx1"/>
            </w14:solidFill>
          </w14:textFill>
        </w:rPr>
        <w:t>。</w:t>
      </w:r>
    </w:p>
    <w:p>
      <w:pPr>
        <w:pStyle w:val="34"/>
        <w:spacing w:after="900" w:line="458" w:lineRule="exact"/>
        <w:ind w:firstLine="480"/>
        <w:jc w:val="both"/>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本导则由武汉市自然资源和城乡建设局负责管理，</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武汉市绿色建筑发展促进中心</w:t>
      </w:r>
      <w:r>
        <w:rPr>
          <w:rFonts w:hint="default" w:ascii="Times New Roman" w:hAnsi="Times New Roman" w:cs="Times New Roman" w:eastAsiaTheme="minorEastAsia"/>
          <w:color w:val="000000" w:themeColor="text1"/>
          <w:highlight w:val="none"/>
          <w14:textFill>
            <w14:solidFill>
              <w14:schemeClr w14:val="tx1"/>
            </w14:solidFill>
          </w14:textFill>
        </w:rPr>
        <w:t>负责本</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导则</w:t>
      </w:r>
      <w:r>
        <w:rPr>
          <w:rFonts w:hint="default" w:ascii="Times New Roman" w:hAnsi="Times New Roman" w:cs="Times New Roman" w:eastAsiaTheme="minorEastAsia"/>
          <w:color w:val="000000" w:themeColor="text1"/>
          <w:highlight w:val="none"/>
          <w14:textFill>
            <w14:solidFill>
              <w14:schemeClr w14:val="tx1"/>
            </w14:solidFill>
          </w14:textFill>
        </w:rPr>
        <w:t>技术内容的解释。执行过程中如有意见或建议，请寄送至</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武汉市绿色建筑发展促进中心</w:t>
      </w:r>
      <w:r>
        <w:rPr>
          <w:rFonts w:hint="default" w:ascii="Times New Roman" w:hAnsi="Times New Roman" w:cs="Times New Roman" w:eastAsiaTheme="minorEastAsia"/>
          <w:color w:val="000000" w:themeColor="text1"/>
          <w:highlight w:val="none"/>
          <w14:textFill>
            <w14:solidFill>
              <w14:schemeClr w14:val="tx1"/>
            </w14:solidFill>
          </w14:textFill>
        </w:rPr>
        <w:t>（地址：</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武汉市江岸区老蔡家田5号楼2楼211办公室</w:t>
      </w:r>
      <w:r>
        <w:rPr>
          <w:rFonts w:hint="default" w:ascii="Times New Roman" w:hAnsi="Times New Roman" w:cs="Times New Roman"/>
          <w:color w:val="000000" w:themeColor="text1"/>
          <w:highlight w:val="none"/>
          <w14:textFill>
            <w14:solidFill>
              <w14:schemeClr w14:val="tx1"/>
            </w14:solidFill>
          </w14:textFill>
        </w:rPr>
        <w:t>；电话：027-85761184；邮编：430015</w:t>
      </w:r>
      <w:r>
        <w:rPr>
          <w:rFonts w:hint="default" w:ascii="Times New Roman" w:hAnsi="Times New Roman" w:cs="Times New Roman" w:eastAsiaTheme="minorEastAsia"/>
          <w:color w:val="000000" w:themeColor="text1"/>
          <w:highlight w:val="none"/>
          <w14:textFill>
            <w14:solidFill>
              <w14:schemeClr w14:val="tx1"/>
            </w14:solidFill>
          </w14:textFill>
        </w:rPr>
        <w:t>）。</w:t>
      </w:r>
    </w:p>
    <w:p>
      <w:pPr>
        <w:pStyle w:val="34"/>
        <w:spacing w:after="160" w:line="240" w:lineRule="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主编单位：</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武汉市绿色建筑发展促进中心</w:t>
      </w:r>
    </w:p>
    <w:p>
      <w:pPr>
        <w:pStyle w:val="34"/>
        <w:spacing w:after="160" w:line="240" w:lineRule="auto"/>
        <w:ind w:firstLine="1000" w:firstLineChars="50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中建商品混凝土有限公司 </w:t>
      </w:r>
    </w:p>
    <w:p>
      <w:pPr>
        <w:ind w:left="2200" w:hanging="2200" w:hangingChars="1100"/>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pP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本导则主要起草人员：肖</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孟</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李</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辉</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陈宪清   赵日煦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杜莉莉</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杨旭辉</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李</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兴</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陈  雁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瞿诗曜</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p>
    <w:p>
      <w:pPr>
        <w:ind w:left="2392" w:leftChars="830" w:hanging="400" w:hangingChars="200"/>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pP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刘宪红</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陈</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林</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韩栩仟</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徐智东</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张念梅</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唐娟娟    张   帆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刘研奇</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eastAsia"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钱继红   </w:t>
      </w:r>
    </w:p>
    <w:p>
      <w:pPr>
        <w:ind w:left="2392" w:leftChars="830" w:hanging="400" w:hangingChars="200"/>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pP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 xml:space="preserve">刘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 xml:space="preserve">倩  </w:t>
      </w:r>
      <w:r>
        <w:rPr>
          <w:rFonts w:hint="default" w:ascii="Times New Roman" w:hAnsi="Times New Roman" w:cs="Times New Roman" w:eastAsiaTheme="minorEastAsia"/>
          <w:color w:val="000000" w:themeColor="text1"/>
          <w:sz w:val="20"/>
          <w:szCs w:val="20"/>
          <w:highlight w:val="none"/>
          <w:lang w:val="en-US" w:eastAsia="zh-CN" w:bidi="zh-TW"/>
          <w14:textFill>
            <w14:solidFill>
              <w14:schemeClr w14:val="tx1"/>
            </w14:solidFill>
          </w14:textFill>
        </w:rPr>
        <w:t xml:space="preserve"> </w:t>
      </w:r>
      <w:r>
        <w:rPr>
          <w:rFonts w:hint="default" w:ascii="Times New Roman" w:hAnsi="Times New Roman" w:cs="Times New Roman" w:eastAsiaTheme="minorEastAsia"/>
          <w:color w:val="000000" w:themeColor="text1"/>
          <w:sz w:val="20"/>
          <w:szCs w:val="20"/>
          <w:highlight w:val="none"/>
          <w:lang w:val="zh-TW" w:eastAsia="zh-CN" w:bidi="zh-TW"/>
          <w14:textFill>
            <w14:solidFill>
              <w14:schemeClr w14:val="tx1"/>
            </w14:solidFill>
          </w14:textFill>
        </w:rPr>
        <w:t>周改红</w:t>
      </w:r>
    </w:p>
    <w:p>
      <w:pPr>
        <w:ind w:left="1462" w:leftChars="609" w:firstLine="945" w:firstLineChars="450"/>
        <w:rPr>
          <w:rFonts w:hint="default" w:ascii="Times New Roman" w:hAnsi="Times New Roman" w:cs="Times New Roman"/>
          <w:b w:val="0"/>
          <w:bCs/>
          <w:i w:val="0"/>
          <w:caps w:val="0"/>
          <w:color w:val="000000" w:themeColor="text1"/>
          <w:spacing w:val="0"/>
          <w:w w:val="100"/>
          <w:sz w:val="21"/>
          <w:szCs w:val="21"/>
          <w:highlight w:val="none"/>
          <w14:textFill>
            <w14:solidFill>
              <w14:schemeClr w14:val="tx1"/>
            </w14:solidFill>
          </w14:textFill>
        </w:rPr>
      </w:pPr>
    </w:p>
    <w:p>
      <w:pPr>
        <w:ind w:left="1462" w:leftChars="609" w:firstLine="945" w:firstLineChars="450"/>
        <w:rPr>
          <w:rFonts w:hint="default" w:ascii="Times New Roman" w:hAnsi="Times New Roman" w:cs="Times New Roman"/>
          <w:b w:val="0"/>
          <w:bCs/>
          <w:i w:val="0"/>
          <w:caps w:val="0"/>
          <w:color w:val="000000" w:themeColor="text1"/>
          <w:spacing w:val="0"/>
          <w:w w:val="100"/>
          <w:sz w:val="21"/>
          <w:szCs w:val="21"/>
          <w:highlight w:val="none"/>
          <w14:textFill>
            <w14:solidFill>
              <w14:schemeClr w14:val="tx1"/>
            </w14:solidFill>
          </w14:textFill>
        </w:rPr>
        <w:sectPr>
          <w:footerReference r:id="rId6" w:type="default"/>
          <w:pgSz w:w="11900" w:h="16840"/>
          <w:pgMar w:top="1463" w:right="1264" w:bottom="1939" w:left="1729" w:header="1032" w:footer="850" w:gutter="0"/>
          <w:pgNumType w:fmt="decimal" w:start="1"/>
          <w:cols w:space="0" w:num="1"/>
          <w:rtlGutter w:val="0"/>
          <w:docGrid w:linePitch="360" w:charSpace="0"/>
        </w:sectPr>
      </w:pPr>
    </w:p>
    <w:sdt>
      <w:sdtPr>
        <w:rPr>
          <w:rFonts w:hint="default" w:ascii="Times New Roman" w:hAnsi="Times New Roman" w:eastAsia="Times New Roman" w:cs="Times New Roman"/>
          <w:b w:val="0"/>
          <w:bCs w:val="0"/>
          <w:color w:val="000000" w:themeColor="text1"/>
          <w:sz w:val="24"/>
          <w:szCs w:val="24"/>
          <w:highlight w:val="none"/>
          <w:lang w:val="zh-CN"/>
          <w14:textFill>
            <w14:solidFill>
              <w14:schemeClr w14:val="tx1"/>
            </w14:solidFill>
          </w14:textFill>
        </w:rPr>
        <w:id w:val="559212476"/>
        <w:docPartObj>
          <w:docPartGallery w:val="Table of Contents"/>
          <w:docPartUnique/>
        </w:docPartObj>
      </w:sdtPr>
      <w:sdtEndPr>
        <w:rPr>
          <w:rFonts w:hint="default" w:ascii="Times New Roman" w:hAnsi="Times New Roman" w:eastAsia="Times New Roman" w:cs="Times New Roman"/>
          <w:b/>
          <w:bCs w:val="0"/>
          <w:color w:val="000000" w:themeColor="text1"/>
          <w:sz w:val="13"/>
          <w:szCs w:val="13"/>
          <w:highlight w:val="none"/>
          <w:lang w:val="zh-CN"/>
          <w14:textFill>
            <w14:solidFill>
              <w14:schemeClr w14:val="tx1"/>
            </w14:solidFill>
          </w14:textFill>
        </w:rPr>
      </w:sdtEndPr>
      <w:sdtContent>
        <w:p>
          <w:pPr>
            <w:pStyle w:val="57"/>
            <w:pageBreakBefore w:val="0"/>
            <w:kinsoku/>
            <w:wordWrap/>
            <w:overflowPunct/>
            <w:topLinePunct w:val="0"/>
            <w:autoSpaceDE/>
            <w:autoSpaceDN/>
            <w:bidi w:val="0"/>
            <w:adjustRightInd/>
            <w:snapToGrid w:val="0"/>
            <w:spacing w:before="480" w:beforeAutospacing="0" w:after="0" w:afterAutospacing="0" w:line="500" w:lineRule="exact"/>
            <w:jc w:val="center"/>
            <w:textAlignment w:val="baseline"/>
            <w:rPr>
              <w:rFonts w:hint="default" w:ascii="Times New Roman" w:hAnsi="Times New Roman" w:eastAsia="黑体" w:cs="Times New Roman"/>
              <w:b/>
              <w:bCs w:val="0"/>
              <w:i w:val="0"/>
              <w:caps w:val="0"/>
              <w:color w:val="000000" w:themeColor="text1"/>
              <w:spacing w:val="0"/>
              <w:w w:val="100"/>
              <w:sz w:val="24"/>
              <w:szCs w:val="24"/>
              <w:highlight w:val="none"/>
              <w:lang w:val="zh-CN"/>
              <w14:textFill>
                <w14:solidFill>
                  <w14:schemeClr w14:val="tx1"/>
                </w14:solidFill>
              </w14:textFill>
            </w:rPr>
          </w:pPr>
          <w:r>
            <w:rPr>
              <w:rFonts w:hint="default" w:ascii="Times New Roman" w:hAnsi="Times New Roman" w:eastAsia="黑体" w:cs="Times New Roman"/>
              <w:b/>
              <w:bCs w:val="0"/>
              <w:i w:val="0"/>
              <w:caps w:val="0"/>
              <w:color w:val="000000" w:themeColor="text1"/>
              <w:spacing w:val="0"/>
              <w:w w:val="100"/>
              <w:sz w:val="24"/>
              <w:szCs w:val="24"/>
              <w:highlight w:val="none"/>
              <w14:textFill>
                <w14:solidFill>
                  <w14:schemeClr w14:val="tx1"/>
                </w14:solidFill>
              </w14:textFill>
            </w:rPr>
            <w:t>目</w:t>
          </w:r>
          <w:r>
            <w:rPr>
              <w:rFonts w:hint="eastAsia" w:ascii="Times New Roman" w:hAnsi="Times New Roman" w:eastAsia="黑体" w:cs="Times New Roman"/>
              <w:b/>
              <w:bCs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default" w:ascii="Times New Roman" w:hAnsi="Times New Roman" w:eastAsia="黑体" w:cs="Times New Roman"/>
              <w:b/>
              <w:bCs w:val="0"/>
              <w:i w:val="0"/>
              <w:caps w:val="0"/>
              <w:color w:val="000000" w:themeColor="text1"/>
              <w:spacing w:val="0"/>
              <w:w w:val="100"/>
              <w:sz w:val="24"/>
              <w:szCs w:val="24"/>
              <w:highlight w:val="none"/>
              <w:lang w:val="zh-CN"/>
              <w14:textFill>
                <w14:solidFill>
                  <w14:schemeClr w14:val="tx1"/>
                </w14:solidFill>
              </w14:textFill>
            </w:rPr>
            <w:t>录</w:t>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
              <w:bCs w:val="0"/>
              <w:i w:val="0"/>
              <w:caps w:val="0"/>
              <w:color w:val="000000" w:themeColor="text1"/>
              <w:spacing w:val="0"/>
              <w:w w:val="100"/>
              <w:sz w:val="11"/>
              <w:szCs w:val="11"/>
              <w:highlight w:val="none"/>
              <w14:textFill>
                <w14:solidFill>
                  <w14:schemeClr w14:val="tx1"/>
                </w14:solidFill>
              </w14:textFill>
            </w:rPr>
            <w:fldChar w:fldCharType="begin"/>
          </w:r>
          <w:r>
            <w:rPr>
              <w:rFonts w:hint="default" w:ascii="Times New Roman" w:hAnsi="Times New Roman" w:eastAsia="黑体" w:cs="Times New Roman"/>
              <w:b/>
              <w:bCs w:val="0"/>
              <w:i w:val="0"/>
              <w:caps w:val="0"/>
              <w:color w:val="000000" w:themeColor="text1"/>
              <w:spacing w:val="0"/>
              <w:w w:val="100"/>
              <w:sz w:val="11"/>
              <w:szCs w:val="11"/>
              <w:highlight w:val="none"/>
              <w14:textFill>
                <w14:solidFill>
                  <w14:schemeClr w14:val="tx1"/>
                </w14:solidFill>
              </w14:textFill>
            </w:rPr>
            <w:instrText xml:space="preserve"> TOC \o "1-3" \h \z \u </w:instrText>
          </w:r>
          <w:r>
            <w:rPr>
              <w:rFonts w:hint="default" w:ascii="Times New Roman" w:hAnsi="Times New Roman" w:eastAsia="黑体" w:cs="Times New Roman"/>
              <w:b/>
              <w:bCs w:val="0"/>
              <w:i w:val="0"/>
              <w:caps w:val="0"/>
              <w:color w:val="000000" w:themeColor="text1"/>
              <w:spacing w:val="0"/>
              <w:w w:val="100"/>
              <w:sz w:val="11"/>
              <w:szCs w:val="11"/>
              <w:highlight w:val="none"/>
              <w14:textFill>
                <w14:solidFill>
                  <w14:schemeClr w14:val="tx1"/>
                </w14:solidFill>
              </w14:textFill>
            </w:rPr>
            <w:fldChar w:fldCharType="separate"/>
          </w:r>
          <w:r>
            <w:rPr>
              <w:rFonts w:hint="default" w:ascii="Times New Roman" w:hAnsi="Times New Roman" w:eastAsia="黑体" w:cs="Times New Roman"/>
              <w:bCs w:val="0"/>
              <w:i w:val="0"/>
              <w:caps w:val="0"/>
              <w:color w:val="000000" w:themeColor="text1"/>
              <w:spacing w:val="0"/>
              <w:w w:val="100"/>
              <w:sz w:val="20"/>
              <w:szCs w:val="20"/>
              <w:highlight w:val="none"/>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14:textFill>
                <w14:solidFill>
                  <w14:schemeClr w14:val="tx1"/>
                </w14:solidFill>
              </w14:textFill>
            </w:rPr>
            <w:instrText xml:space="preserve"> HYPERLINK \l _Toc30999 </w:instrText>
          </w:r>
          <w:r>
            <w:rPr>
              <w:rFonts w:hint="default" w:ascii="Times New Roman" w:hAnsi="Times New Roman" w:eastAsia="黑体" w:cs="Times New Roman"/>
              <w:bCs w:val="0"/>
              <w:i w:val="0"/>
              <w:caps w:val="0"/>
              <w:color w:val="000000" w:themeColor="text1"/>
              <w:spacing w:val="0"/>
              <w:w w:val="100"/>
              <w:sz w:val="20"/>
              <w:szCs w:val="20"/>
              <w:highlight w:val="none"/>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zh-CN" w:bidi="zh-CN"/>
              <w14:textFill>
                <w14:solidFill>
                  <w14:schemeClr w14:val="tx1"/>
                </w14:solidFill>
              </w14:textFill>
            </w:rPr>
            <w:t>1</w:t>
          </w:r>
          <w:r>
            <w:rPr>
              <w:rFonts w:hint="default" w:ascii="Times New Roman" w:hAnsi="Times New Roman" w:cs="Times New Roman"/>
              <w:i w:val="0"/>
              <w:caps w:val="0"/>
              <w:color w:val="000000" w:themeColor="text1"/>
              <w:spacing w:val="0"/>
              <w:w w:val="100"/>
              <w:sz w:val="20"/>
              <w:szCs w:val="20"/>
              <w:highlight w:val="none"/>
              <w14:textFill>
                <w14:solidFill>
                  <w14:schemeClr w14:val="tx1"/>
                </w14:solidFill>
              </w14:textFill>
            </w:rPr>
            <w:t>总则</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_Toc30999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_Toc14674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zh-CN" w:eastAsia="zh-TW" w:bidi="zh-CN"/>
              <w14:textFill>
                <w14:solidFill>
                  <w14:schemeClr w14:val="tx1"/>
                </w14:solidFill>
              </w14:textFill>
            </w:rPr>
            <w:t>2术语</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_Toc14674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_Toc29137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zh-CN" w:eastAsia="zh-TW" w:bidi="zh-CN"/>
              <w14:textFill>
                <w14:solidFill>
                  <w14:schemeClr w14:val="tx1"/>
                </w14:solidFill>
              </w14:textFill>
            </w:rPr>
            <w:t>3</w:t>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基础规定</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_Toc29137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_Toc5363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 xml:space="preserve">3.1 </w:t>
          </w:r>
          <w:r>
            <w:rPr>
              <w:rFonts w:hint="eastAsia"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一般规定</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_Toc5363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_Toc23839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3.</w:t>
          </w:r>
          <w:r>
            <w:rPr>
              <w:rFonts w:hint="eastAsia"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2</w:t>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 xml:space="preserve"> 硬件设施</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_Toc23839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_Toc27026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3.</w:t>
          </w:r>
          <w:r>
            <w:rPr>
              <w:rFonts w:hint="eastAsia"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3</w:t>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 xml:space="preserve"> 软件系统</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_Toc27026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_Toc26691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3.</w:t>
          </w:r>
          <w:r>
            <w:rPr>
              <w:rFonts w:hint="eastAsia"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4信息安全</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_Toc26691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_Toc18248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4销售管理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_Toc18248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_Toc864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4.1合同管理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_Toc864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_Toc17487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4.2 客户服务</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_Toc17487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_Toc24527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5物资管理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_Toc24527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8</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_Toc30876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5.1原材采购</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_Toc30876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8</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_Toc6590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5.2原材入库</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_Toc6590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8</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_Toc11112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5.3原材库存</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_Toc11112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9</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_Toc12327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6生产管理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_Toc12327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10</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_Toc27109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6</w:t>
          </w:r>
          <w:r>
            <w:rPr>
              <w:rFonts w:hint="default" w:ascii="Times New Roman" w:hAnsi="Times New Roman" w:cs="Times New Roman"/>
              <w:i w:val="0"/>
              <w:caps w:val="0"/>
              <w:color w:val="000000" w:themeColor="text1"/>
              <w:spacing w:val="0"/>
              <w:w w:val="100"/>
              <w:sz w:val="20"/>
              <w:szCs w:val="20"/>
              <w:highlight w:val="none"/>
              <w:lang w:bidi="en-US"/>
              <w14:textFill>
                <w14:solidFill>
                  <w14:schemeClr w14:val="tx1"/>
                </w14:solidFill>
              </w14:textFill>
            </w:rPr>
            <w:t>.1</w:t>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工控设备</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_Toc27109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10</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_Toc17699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6</w:t>
          </w:r>
          <w:r>
            <w:rPr>
              <w:rFonts w:hint="default" w:ascii="Times New Roman" w:hAnsi="Times New Roman" w:cs="Times New Roman"/>
              <w:i w:val="0"/>
              <w:caps w:val="0"/>
              <w:color w:val="000000" w:themeColor="text1"/>
              <w:spacing w:val="0"/>
              <w:w w:val="100"/>
              <w:sz w:val="20"/>
              <w:szCs w:val="20"/>
              <w:highlight w:val="none"/>
              <w:lang w:bidi="en-US"/>
              <w14:textFill>
                <w14:solidFill>
                  <w14:schemeClr w14:val="tx1"/>
                </w14:solidFill>
              </w14:textFill>
            </w:rPr>
            <w:t>.</w:t>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2生产组织</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_Toc17699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10</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_Toc14514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6</w:t>
          </w:r>
          <w:r>
            <w:rPr>
              <w:rFonts w:hint="default" w:ascii="Times New Roman" w:hAnsi="Times New Roman" w:cs="Times New Roman"/>
              <w:i w:val="0"/>
              <w:caps w:val="0"/>
              <w:color w:val="000000" w:themeColor="text1"/>
              <w:spacing w:val="0"/>
              <w:w w:val="100"/>
              <w:sz w:val="20"/>
              <w:szCs w:val="20"/>
              <w:highlight w:val="none"/>
              <w:lang w:bidi="en-US"/>
              <w14:textFill>
                <w14:solidFill>
                  <w14:schemeClr w14:val="tx1"/>
                </w14:solidFill>
              </w14:textFill>
            </w:rPr>
            <w:t>.</w:t>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3运输交付</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_Toc14514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11</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_Toc12829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7环境与安全</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_Toc12829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13</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_Toc24005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7.1环境管理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_Toc24005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13</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_Toc5759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7.2安全管理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_Toc5759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13</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_Toc28397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8质量管理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_Toc28397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15</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_Toc31937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8</w:t>
          </w:r>
          <w:r>
            <w:rPr>
              <w:rFonts w:hint="default" w:ascii="Times New Roman" w:hAnsi="Times New Roman" w:cs="Times New Roman"/>
              <w:i w:val="0"/>
              <w:caps w:val="0"/>
              <w:color w:val="000000" w:themeColor="text1"/>
              <w:spacing w:val="0"/>
              <w:w w:val="100"/>
              <w:sz w:val="20"/>
              <w:szCs w:val="20"/>
              <w:highlight w:val="none"/>
              <w:lang w:bidi="en-US"/>
              <w14:textFill>
                <w14:solidFill>
                  <w14:schemeClr w14:val="tx1"/>
                </w14:solidFill>
              </w14:textFill>
            </w:rPr>
            <w:t>.1</w:t>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配合比管理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_Toc31937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15</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_Toc28952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8.2原材料质量检测</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_Toc28952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15</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_Toc20749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8</w:t>
          </w:r>
          <w:r>
            <w:rPr>
              <w:rFonts w:hint="default" w:ascii="Times New Roman" w:hAnsi="Times New Roman" w:cs="Times New Roman"/>
              <w:i w:val="0"/>
              <w:caps w:val="0"/>
              <w:color w:val="000000" w:themeColor="text1"/>
              <w:spacing w:val="0"/>
              <w:w w:val="100"/>
              <w:sz w:val="20"/>
              <w:szCs w:val="20"/>
              <w:highlight w:val="none"/>
              <w:lang w:bidi="en-US"/>
              <w14:textFill>
                <w14:solidFill>
                  <w14:schemeClr w14:val="tx1"/>
                </w14:solidFill>
              </w14:textFill>
            </w:rPr>
            <w:t>.</w:t>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3混凝土质量检测</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_Toc20749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16</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_Toc30455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zh-CN"/>
              <w14:textFill>
                <w14:solidFill>
                  <w14:schemeClr w14:val="tx1"/>
                </w14:solidFill>
              </w14:textFill>
            </w:rPr>
            <w:t>9  财务及报表</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_Toc30455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17</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_Toc32202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9.1财务管理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_Toc32202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17</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_Toc25033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9.2结算及报表管理</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_Toc25033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17</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_Toc26071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10前沿技术</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_Toc26071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18</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_Toc15680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10.1工艺设计与优化</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_Toc15680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18</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_Toc28984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10.2 智能协同</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_Toc28984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18</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_Toc14313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10.3 客户服务</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_Toc14313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18</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_Toc18556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10.4监控与预警</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_Toc18556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19</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_Toc894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10.5智能仓储及物流</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_Toc894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19</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3"/>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_Toc31799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CN" w:bidi="en-US"/>
              <w14:textFill>
                <w14:solidFill>
                  <w14:schemeClr w14:val="tx1"/>
                </w14:solidFill>
              </w14:textFill>
            </w:rPr>
            <w:t>10.6 智能化办公与决策支持</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_Toc31799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19</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_Toc1282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en-US" w:eastAsia="zh-TW" w:bidi="zh-CN"/>
              <w14:textFill>
                <w14:solidFill>
                  <w14:schemeClr w14:val="tx1"/>
                </w14:solidFill>
              </w14:textFill>
            </w:rPr>
            <w:t>11分类评价</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_Toc1282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20</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_Toc305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附录A《武汉市预拌混凝土厂站智能化技术导则》分级评价表</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_Toc305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22</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sz w:val="20"/>
              <w:szCs w:val="20"/>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_Toc15010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zh-CN" w:bidi="zh-CN"/>
              <w14:textFill>
                <w14:solidFill>
                  <w14:schemeClr w14:val="tx1"/>
                </w14:solidFill>
              </w14:textFill>
            </w:rPr>
            <w:t>本导则用词说明</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_Toc15010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26</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pStyle w:val="12"/>
            <w:tabs>
              <w:tab w:val="right" w:leader="dot" w:pos="8907"/>
            </w:tabs>
            <w:rPr>
              <w:color w:val="000000" w:themeColor="text1"/>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begin"/>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instrText xml:space="preserve"> HYPERLINK \l _Toc28485 </w:instrText>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separate"/>
          </w:r>
          <w:r>
            <w:rPr>
              <w:rFonts w:hint="default" w:ascii="Times New Roman" w:hAnsi="Times New Roman" w:cs="Times New Roman"/>
              <w:i w:val="0"/>
              <w:caps w:val="0"/>
              <w:color w:val="000000" w:themeColor="text1"/>
              <w:spacing w:val="0"/>
              <w:w w:val="100"/>
              <w:sz w:val="20"/>
              <w:szCs w:val="20"/>
              <w:highlight w:val="none"/>
              <w:lang w:val="zh-CN" w:bidi="zh-CN"/>
              <w14:textFill>
                <w14:solidFill>
                  <w14:schemeClr w14:val="tx1"/>
                </w14:solidFill>
              </w14:textFill>
            </w:rPr>
            <w:t>引用标准名录</w:t>
          </w:r>
          <w:r>
            <w:rPr>
              <w:color w:val="000000" w:themeColor="text1"/>
              <w:sz w:val="20"/>
              <w:szCs w:val="20"/>
              <w14:textFill>
                <w14:solidFill>
                  <w14:schemeClr w14:val="tx1"/>
                </w14:solidFill>
              </w14:textFill>
            </w:rPr>
            <w:tab/>
          </w: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PAGEREF _Toc28485 \h </w:instrText>
          </w:r>
          <w:r>
            <w:rPr>
              <w:color w:val="000000" w:themeColor="text1"/>
              <w:sz w:val="20"/>
              <w:szCs w:val="20"/>
              <w14:textFill>
                <w14:solidFill>
                  <w14:schemeClr w14:val="tx1"/>
                </w14:solidFill>
              </w14:textFill>
            </w:rPr>
            <w:fldChar w:fldCharType="separate"/>
          </w:r>
          <w:r>
            <w:rPr>
              <w:color w:val="000000" w:themeColor="text1"/>
              <w:sz w:val="20"/>
              <w:szCs w:val="20"/>
              <w14:textFill>
                <w14:solidFill>
                  <w14:schemeClr w14:val="tx1"/>
                </w14:solidFill>
              </w14:textFill>
            </w:rPr>
            <w:t>27</w:t>
          </w:r>
          <w:r>
            <w:rPr>
              <w:color w:val="000000" w:themeColor="text1"/>
              <w:sz w:val="20"/>
              <w:szCs w:val="20"/>
              <w14:textFill>
                <w14:solidFill>
                  <w14:schemeClr w14:val="tx1"/>
                </w14:solidFill>
              </w14:textFill>
            </w:rPr>
            <w:fldChar w:fldCharType="end"/>
          </w:r>
          <w:r>
            <w:rPr>
              <w:rFonts w:hint="default" w:ascii="Times New Roman" w:hAnsi="Times New Roman" w:eastAsia="黑体" w:cs="Times New Roman"/>
              <w:bCs w:val="0"/>
              <w:i w:val="0"/>
              <w:caps w:val="0"/>
              <w:color w:val="000000" w:themeColor="text1"/>
              <w:spacing w:val="0"/>
              <w:w w:val="100"/>
              <w:sz w:val="20"/>
              <w:szCs w:val="20"/>
              <w:highlight w:val="none"/>
              <w:lang w:val="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textAlignment w:val="baseline"/>
            <w:rPr>
              <w:rFonts w:hint="default" w:ascii="Times New Roman" w:hAnsi="Times New Roman" w:cs="Times New Roman"/>
              <w:b/>
              <w:bCs w:val="0"/>
              <w:i w:val="0"/>
              <w:caps w:val="0"/>
              <w:color w:val="000000" w:themeColor="text1"/>
              <w:spacing w:val="0"/>
              <w:w w:val="100"/>
              <w:sz w:val="8"/>
              <w:szCs w:val="13"/>
              <w:highlight w:val="none"/>
              <w14:textFill>
                <w14:solidFill>
                  <w14:schemeClr w14:val="tx1"/>
                </w14:solidFill>
              </w14:textFill>
            </w:rPr>
          </w:pPr>
          <w:r>
            <w:rPr>
              <w:rFonts w:hint="default" w:ascii="Times New Roman" w:hAnsi="Times New Roman" w:eastAsia="黑体" w:cs="Times New Roman"/>
              <w:bCs w:val="0"/>
              <w:i w:val="0"/>
              <w:caps w:val="0"/>
              <w:color w:val="000000" w:themeColor="text1"/>
              <w:spacing w:val="0"/>
              <w:w w:val="100"/>
              <w:szCs w:val="11"/>
              <w:highlight w:val="none"/>
              <w:lang w:val="zh-CN"/>
              <w14:textFill>
                <w14:solidFill>
                  <w14:schemeClr w14:val="tx1"/>
                </w14:solidFill>
              </w14:textFill>
            </w:rPr>
            <w:fldChar w:fldCharType="end"/>
          </w:r>
        </w:p>
      </w:sdtContent>
    </w:sdt>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sectPr>
          <w:footerReference r:id="rId7" w:type="default"/>
          <w:pgSz w:w="11900" w:h="16840"/>
          <w:pgMar w:top="1463" w:right="1264" w:bottom="1939" w:left="1729" w:header="1032" w:footer="850" w:gutter="0"/>
          <w:pgNumType w:fmt="decimal"/>
          <w:cols w:space="0" w:num="1"/>
          <w:rtlGutter w:val="0"/>
          <w:docGrid w:linePitch="360" w:charSpace="0"/>
        </w:sectPr>
      </w:pPr>
      <w:bookmarkStart w:id="0" w:name="_Toc2202"/>
      <w:bookmarkStart w:id="1" w:name="_Toc5408"/>
      <w:bookmarkStart w:id="2" w:name="_Toc59121525"/>
      <w:bookmarkStart w:id="3" w:name="bookmark49"/>
      <w:bookmarkStart w:id="4" w:name="bookmark47"/>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14:textFill>
            <w14:solidFill>
              <w14:schemeClr w14:val="tx1"/>
            </w14:solidFill>
          </w14:textFill>
        </w:rPr>
      </w:pPr>
      <w:bookmarkStart w:id="5" w:name="_Toc30999"/>
      <w: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t>1</w:t>
      </w:r>
      <w:r>
        <w:rPr>
          <w:rFonts w:hint="default" w:ascii="Times New Roman" w:hAnsi="Times New Roman" w:cs="Times New Roman"/>
          <w:b w:val="0"/>
          <w:i w:val="0"/>
          <w:caps w:val="0"/>
          <w:color w:val="000000" w:themeColor="text1"/>
          <w:spacing w:val="0"/>
          <w:w w:val="100"/>
          <w:sz w:val="28"/>
          <w:szCs w:val="28"/>
          <w:highlight w:val="none"/>
          <w14:textFill>
            <w14:solidFill>
              <w14:schemeClr w14:val="tx1"/>
            </w14:solidFill>
          </w14:textFill>
        </w:rPr>
        <w:t>总则</w:t>
      </w:r>
      <w:bookmarkEnd w:id="0"/>
      <w:bookmarkEnd w:id="1"/>
      <w:bookmarkEnd w:id="2"/>
      <w:bookmarkEnd w:id="3"/>
      <w:bookmarkEnd w:id="4"/>
      <w:bookmarkEnd w:id="5"/>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6" w:name="bookmark50"/>
      <w:bookmarkStart w:id="7" w:name="_Toc59121526"/>
      <w:bookmarkStart w:id="8" w:name="bookmark54"/>
      <w:bookmarkStart w:id="9" w:name="bookmark52"/>
      <w:bookmarkStart w:id="10" w:name="bookmark51"/>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1.1本导则指导混凝土企业开展</w:t>
      </w:r>
      <w:r>
        <w:rPr>
          <w:rFonts w:hint="default" w:ascii="Times New Roman" w:hAnsi="Times New Roman" w:cs="Times New Roman"/>
          <w:color w:val="000000" w:themeColor="text1"/>
          <w:highlight w:val="none"/>
          <w14:textFill>
            <w14:solidFill>
              <w14:schemeClr w14:val="tx1"/>
            </w14:solidFill>
          </w14:textFill>
        </w:rPr>
        <w:t>生产设备和工艺的智能化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质量控制的智能化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厂内安全监管的智能化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业务流转的智能化</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管理效率评价的智能化</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，实现高效、环保、安全、节能生产，打造企业新质生产力，促进企业高质量发展。</w:t>
      </w:r>
      <w:bookmarkEnd w:id="6"/>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1.2</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本导则适用于</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武汉</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市行政区域内预拌混凝土的生产及运输</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交付</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的管理。</w:t>
      </w:r>
    </w:p>
    <w:p>
      <w:pPr>
        <w:pStyle w:val="34"/>
        <w:snapToGrid w:val="0"/>
        <w:spacing w:before="0" w:beforeAutospacing="0" w:after="0" w:afterAutospacing="0" w:line="470" w:lineRule="exact"/>
        <w:textAlignment w:val="baseline"/>
        <w:rPr>
          <w:rFonts w:hint="default" w:ascii="Times New Roman" w:hAnsi="Times New Roman" w:eastAsia="宋体"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1.3</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预拌混凝土生产及运输</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交付</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管理除执行本导则外，尚应遵守国家</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湖北省和</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武汉</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市现行有关标准及法规的规定。</w:t>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pPr>
      <w:bookmarkStart w:id="11" w:name="_Toc1801"/>
      <w:bookmarkStart w:id="12" w:name="_Toc24860"/>
      <w:bookmarkStart w:id="13" w:name="_Toc14674"/>
      <w:r>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t>2术语</w:t>
      </w:r>
      <w:bookmarkEnd w:id="7"/>
      <w:bookmarkEnd w:id="8"/>
      <w:bookmarkEnd w:id="9"/>
      <w:bookmarkEnd w:id="10"/>
      <w:bookmarkEnd w:id="11"/>
      <w:bookmarkEnd w:id="12"/>
      <w:bookmarkEnd w:id="13"/>
    </w:p>
    <w:p>
      <w:pPr>
        <w:rPr>
          <w:rFonts w:hint="default" w:ascii="Times New Roman" w:hAnsi="Times New Roman" w:eastAsia="宋体" w:cs="Times New Roman"/>
          <w:i w:val="0"/>
          <w:iCs w:val="0"/>
          <w:caps w:val="0"/>
          <w:color w:val="000000" w:themeColor="text1"/>
          <w:spacing w:val="0"/>
          <w:sz w:val="20"/>
          <w:szCs w:val="20"/>
          <w:highlight w:val="none"/>
          <w:shd w:val="clear"/>
          <w:lang w:val="en-US" w:eastAsia="zh-TW" w:bidi="en-US"/>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0"/>
          <w:szCs w:val="20"/>
          <w:highlight w:val="none"/>
          <w:shd w:val="clear"/>
          <w:lang w:val="en-US" w:eastAsia="zh-CN" w:bidi="en-US"/>
          <w14:textFill>
            <w14:solidFill>
              <w14:schemeClr w14:val="tx1"/>
            </w14:solidFill>
          </w14:textFill>
        </w:rPr>
        <w:t>2.1</w:t>
      </w:r>
      <w:r>
        <w:rPr>
          <w:rFonts w:hint="default" w:ascii="Times New Roman" w:hAnsi="Times New Roman" w:eastAsia="宋体" w:cs="Times New Roman"/>
          <w:i w:val="0"/>
          <w:iCs w:val="0"/>
          <w:caps w:val="0"/>
          <w:color w:val="000000" w:themeColor="text1"/>
          <w:spacing w:val="0"/>
          <w:sz w:val="20"/>
          <w:szCs w:val="20"/>
          <w:highlight w:val="none"/>
          <w:shd w:val="clear"/>
          <w:lang w:val="en-US" w:eastAsia="zh-TW" w:bidi="en-US"/>
          <w14:textFill>
            <w14:solidFill>
              <w14:schemeClr w14:val="tx1"/>
            </w14:solidFill>
          </w14:textFill>
        </w:rPr>
        <w:t>智能化厂站（Intelligent Factory ）</w:t>
      </w:r>
    </w:p>
    <w:p>
      <w:pPr>
        <w:pStyle w:val="34"/>
        <w:snapToGrid w:val="0"/>
        <w:spacing w:before="0" w:beforeAutospacing="0" w:after="0" w:afterAutospacing="0" w:line="470" w:lineRule="exact"/>
        <w:textAlignment w:val="baseline"/>
        <w:rPr>
          <w:rFonts w:hint="default" w:ascii="Times New Roman" w:hAnsi="Times New Roman" w:eastAsia="宋体" w:cs="Times New Roman"/>
          <w:color w:val="000000" w:themeColor="text1"/>
          <w:sz w:val="20"/>
          <w:szCs w:val="20"/>
          <w:highlight w:val="none"/>
          <w:lang w:val="en-US" w:eastAsia="zh-CN" w:bidi="en-US"/>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0"/>
          <w:szCs w:val="20"/>
          <w:highlight w:val="none"/>
          <w:shd w:val="clear"/>
          <w:lang w:val="en-US" w:eastAsia="zh-TW" w:bidi="en-US"/>
          <w14:textFill>
            <w14:solidFill>
              <w14:schemeClr w14:val="tx1"/>
            </w14:solidFill>
          </w14:textFill>
        </w:rPr>
        <w:t>是从原材料入厂、生产及输送全过程实现智能化，利用物联网数字化的技术和设备加强信息化与服务；通过原材料进场预约、智能称量与检测，生产废弃物零排放，并能消纳合格的固废原材料，利用大数据实现混凝土配合比的智能优化，实现生产质量智能控制与检测数据自动上传；营销和财务，物流与施工于一体的无缝融合，具有高效节能、绿色环保、环境舒适等特征的人性化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14" w:name="bookmark55"/>
      <w:bookmarkEnd w:id="14"/>
      <w:bookmarkStart w:id="15" w:name="bookmark60"/>
      <w:bookmarkStart w:id="16" w:name="_Toc59121527"/>
      <w:bookmarkStart w:id="17" w:name="bookmark59"/>
      <w:bookmarkStart w:id="18" w:name="bookmark62"/>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2.2预拌混凝土  Ready-mixed Concrete</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在搅拌站生产的、通过运输设备送至使用地点的、交付时为拌合物的混凝土。</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2.3信息化 Informatization</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在生产过程中充分利用信息通信技术，开发利用信息资源，改善管理水平及技术能力，提高经济效益和市场竞争力的活动。</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2.4企业资源计划  Enterprise Resource Planning</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bookmarkStart w:id="19" w:name="bookmark56"/>
      <w:bookmarkEnd w:id="19"/>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简称ERP</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指</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建立在信息技术基础上，以系统化的管理思想，为企业决策层及员工提供决策运行手段的管理平台。</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pPr>
      <w:bookmarkStart w:id="20" w:name="bookmark57"/>
      <w:bookmarkEnd w:id="20"/>
      <w:bookmarkStart w:id="21" w:name="bookmark58"/>
      <w:bookmarkEnd w:id="21"/>
      <w:r>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t>2.</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5制造执行系统  Manufacturing Execution System</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简称MES</w:t>
      </w:r>
      <w:r>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t>，该系统能启动、指导、响应并向生产管理人员报告在线、实时生产活动的情况</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strike w:val="0"/>
          <w:dstrike w:val="0"/>
          <w:color w:val="000000" w:themeColor="text1"/>
          <w:spacing w:val="0"/>
          <w:w w:val="100"/>
          <w:sz w:val="20"/>
          <w:highlight w:val="none"/>
          <w:lang w:val="en-US" w:eastAsia="zh-TW" w:bidi="en-US"/>
          <w14:textFill>
            <w14:solidFill>
              <w14:schemeClr w14:val="tx1"/>
            </w14:solidFill>
          </w14:textFill>
        </w:rPr>
        <w:t>辅助执行制造订单的活动。</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质量</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"https://baike.baidu.com/item/%E7%AE%A1%E7%90%86%E7%B3%BB%E7%BB%9F/10991644?fromModule=lemma_inlink" \t "https://baike.baidu.com/item/%E8%B4%A8%E9%87%8F%E7%AE%A1%E7%90%86%E7%B3%BB%E7%BB%9F/_blank"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管理系统</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Quality Management System</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简称QMS，</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指在质量方面指挥和控制组织的</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"https://baike.baidu.com/item/%E7%AE%A1%E7%90%86%E4%BD%93%E7%B3%BB/9703960?fromModule=lemma_inlink" \t "https://baike.baidu.com/item/_blank"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管理体系</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是组织内部建立的、为实现</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"https://baike.baidu.com/item/%E8%B4%A8%E9%87%8F%E7%9B%AE%E6%A0%87/9704002?fromModule=lemma_inlink" \t "https://baike.baidu.com/item/_blank"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质量目标</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所必需的、系统的质量</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instrText xml:space="preserve"> HYPERLINK "https://baike.baidu.com/item/%E7%AE%A1%E7%90%86%E6%A8%A1%E5%BC%8F/10595604?fromModule=lemma_inlink" \t "https://baike.baidu.com/item/_blank" </w:instrTex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管理模式</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2.7高级计划与排程系统Advanced Planning System</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简称APS，它通过为流程和离散的混合模型同时解决顺序和调度的优化问题，从而对项目管理与项目制造解决关键链和成本时间最小化。</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2.8程序接口 Application Programming Interface</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简称AP</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I</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是指不同应用程序或系统之间交换数据的通信界面，使不同平台之间能够互相连接和交流，从而实现数据共享和应用集成。</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2.9数字孪生Digital Twin</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简称DT，</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是将预拌混凝土厂站的生产全流程进行仿真建模，再结合大数据算法与IOT物联网技术应用，实现三维模型与业务数据、设备数据、监控数据实时互联互通。通过数据模型算法和场景化应用，将厂站透明化，有助于厂站在安全、生产、质量、环保等方面进行精益化管理。同时基于数字孪生模拟仿真的技术特性，优化混凝土研发、生产、运输、交付等业务流程，提升预拌厂智能制造水平。</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2.10客户关系管理Customer Relationship Management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简称CRM，是企业为提高</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instrText xml:space="preserve"> HYPERLINK "https://baike.baidu.com/item/%E6%A0%B8%E5%BF%83%E7%AB%9E%E4%BA%89%E5%8A%9B/2837274?fromModule=lemma_inlink" \t "https://baike.baidu.com/item/%E5%AE%A2%E6%88%B7%E5%85%B3%E7%B3%BB%E7%AE%A1%E7%90%86/_blank" </w:instrTex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核心竞争力</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，利用相应的信息技术以及</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instrText xml:space="preserve"> HYPERLINK "https://baike.baidu.com/item/%E4%BA%92%E8%81%94%E7%BD%91%E6%8A%80%E6%9C%AF/617749?fromModule=lemma_inlink" \t "https://baike.baidu.com/item/%E5%AE%A2%E6%88%B7%E5%85%B3%E7%B3%BB%E7%AE%A1%E7%90%86/_blank" </w:instrTex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互联网技术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协调企业与顾客间在销售、营销和服务上的交互，从而提升其</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instrText xml:space="preserve"> HYPERLINK "https://baike.baidu.com/item/%E7%AE%A1%E7%90%86%E6%96%B9%E5%BC%8F/260899?fromModule=lemma_inlink" \t "https://baike.baidu.com/item/%E5%AE%A2%E6%88%B7%E5%85%B3%E7%B3%BB%E7%AE%A1%E7%90%86/_blank" </w:instrTex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管理方式</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，向客户提供创新式的</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instrText xml:space="preserve"> HYPERLINK "https://baike.baidu.com/item/%E4%B8%AA%E6%80%A7%E5%8C%96/622222?fromModule=lemma_inlink" \t "https://baike.baidu.com/item/%E5%AE%A2%E6%88%B7%E5%85%B3%E7%B3%BB%E7%AE%A1%E7%90%86/_blank" </w:instrTex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个性化</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的客户交互和服务的过程。其最终目标是吸引</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begin"/>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instrText xml:space="preserve"> HYPERLINK "https://baike.baidu.com/item/%E6%96%B0%E5%AE%A2%E6%88%B7/23734759?fromModule=lemma_inlink" \t "https://baike.baidu.com/item/%E5%AE%A2%E6%88%B7%E5%85%B3%E7%B3%BB%E7%AE%A1%E7%90%86/_blank" </w:instrTex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separate"/>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新客户</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fldChar w:fldCharType="end"/>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、保留老客户以及将已有客户转为忠实客户，增加市场</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2.11射频识别技术Radio Frequency Identification</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简称RFID，是自动识别技术的一种，通过无线射频方式进行非接触双向数据通信，利用无线射频方式对记录媒体（电子标签或射频卡）进行读写，从而达到识别目标和数据交换的目的。</w:t>
      </w:r>
    </w:p>
    <w:p>
      <w:pPr>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pPr>
      <w:bookmarkStart w:id="22" w:name="_Toc7857"/>
      <w:bookmarkStart w:id="23" w:name="_Toc27876"/>
      <w:r>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24" w:name="_Toc29137"/>
      <w:r>
        <w:rPr>
          <w:rFonts w:hint="default" w:ascii="Times New Roman" w:hAnsi="Times New Roman" w:cs="Times New Roman"/>
          <w:b w:val="0"/>
          <w:i w:val="0"/>
          <w:caps w:val="0"/>
          <w:color w:val="000000" w:themeColor="text1"/>
          <w:spacing w:val="0"/>
          <w:w w:val="100"/>
          <w:sz w:val="28"/>
          <w:szCs w:val="28"/>
          <w:highlight w:val="none"/>
          <w:lang w:val="zh-CN" w:eastAsia="zh-TW" w:bidi="zh-CN"/>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基础</w:t>
      </w:r>
      <w:bookmarkEnd w:id="22"/>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规定</w:t>
      </w:r>
      <w:bookmarkEnd w:id="24"/>
    </w:p>
    <w:bookmarkEnd w:id="15"/>
    <w:bookmarkEnd w:id="16"/>
    <w:bookmarkEnd w:id="17"/>
    <w:bookmarkEnd w:id="18"/>
    <w:bookmarkEnd w:id="23"/>
    <w:p>
      <w:pPr>
        <w:pStyle w:val="3"/>
        <w:snapToGrid w:val="0"/>
        <w:spacing w:before="260" w:beforeAutospacing="0" w:after="260" w:afterAutospacing="0" w:line="416" w:lineRule="auto"/>
        <w:jc w:val="center"/>
        <w:textAlignment w:val="baseline"/>
        <w:rPr>
          <w:rFonts w:hint="eastAsia"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25" w:name="_Toc5363"/>
      <w:bookmarkStart w:id="26" w:name="_Toc19430"/>
      <w:bookmarkStart w:id="27" w:name="_Toc329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 xml:space="preserve">3.1 </w:t>
      </w:r>
      <w:r>
        <w:rPr>
          <w:rFonts w:hint="eastAsia"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一般规定</w:t>
      </w:r>
      <w:bookmarkEnd w:id="25"/>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3.1.1 生产资质方面</w:t>
      </w:r>
    </w:p>
    <w:p>
      <w:pPr>
        <w:pStyle w:val="34"/>
        <w:snapToGrid w:val="0"/>
        <w:spacing w:before="0" w:beforeAutospacing="0" w:after="0" w:afterAutospacing="0" w:line="470" w:lineRule="exact"/>
        <w:ind w:firstLine="420" w:firstLineChars="0"/>
        <w:textAlignment w:val="baseline"/>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厂站应具有预拌混凝土生产合法有效的证件和资质，并持续符合预拌混凝土绿色生产、安全生产、环境保护现行标准的规定。</w:t>
      </w:r>
    </w:p>
    <w:p>
      <w:pPr>
        <w:pStyle w:val="34"/>
        <w:snapToGrid w:val="0"/>
        <w:spacing w:before="0" w:beforeAutospacing="0" w:after="0" w:afterAutospacing="0" w:line="470" w:lineRule="exact"/>
        <w:textAlignment w:val="baseline"/>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3.1.2规划方面</w:t>
      </w:r>
    </w:p>
    <w:p>
      <w:pPr>
        <w:pStyle w:val="34"/>
        <w:snapToGrid w:val="0"/>
        <w:spacing w:before="0" w:beforeAutospacing="0" w:after="0" w:afterAutospacing="0" w:line="470" w:lineRule="exact"/>
        <w:ind w:firstLine="420" w:firstLineChars="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应符合城市规划、土地利用规划和产业布局要求。厂址需避开环境敏感区和居民集中居住区，同时考虑未来发展的灵活性和可扩展性</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28" w:name="_Toc2383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 xml:space="preserve"> 硬件设施</w:t>
      </w:r>
      <w:bookmarkEnd w:id="28"/>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 机房与环境监控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.1.1厂站机房环境、不间断电源（UPS）、温湿度等应符合GB50174标准要求。</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.2网络与通信</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.2.1 厂站应建立工控网络，支持自动化控制应用。</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.2.2厂站应建设应用系统网络，实现大规模设备、人员与信息系统的互联。</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.2.3企业宜建设/租用5G工业网络，支撑系统互联和网络协同应用，</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满足自动导引车（AGV）、</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工业互联网等规模化移动应用场景需求。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.2.4厂站网络应涵盖生产网、办公网、视频网等，满足生产实时数据、多媒体和管理数据的传输交互需求。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.2.5厂站的关键工序设备应具备标准通信接口应具备通信接口（如RJ45、RS232、RS485等），并支持主流通信协议，以确保设备间的数据交换和互联互通。</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.3视频监控系统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1厂站关键部位（如试配室</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、搅拌机卸料口、搅拌楼出入口</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等）应配置至少2路视频监控设备，磅房仪表显示处至少配置1路视频监控设备。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厂站调度室</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通过远程视频监控方式获取现场浇筑画面，以保障现场交付质量，具体可采用移动式支架摄像头方式或者泵车固定支架摄像头方式，并要具备远程网络监控功能。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厂站的视频监控系统应符合湖北省散预信息化平台接入技术要求。</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.4设备状态监控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1厂站上料系统应具备骨料仓开关限位检测、下料仓监控、粉料仓料位检测信息化手段</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及破拱装置</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strike/>
          <w:dstrike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2厂站传输系统应具备皮带轨迹检测</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、滚筒状态检测。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3.1.4.3厂站空气动力系统应具备空压机状态监测、故障预警与诊断功能。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4厂站宜通过设备监控系统，集中对关键智能化系统进行运行状态监测、故障预警。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.5计量系统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1厂站计量系统应符合GB17167和GB24789标准，计量精度满足技术与生产要求，并具备数据接口进行计量数据的有效采集。</w:t>
      </w:r>
    </w:p>
    <w:p>
      <w:pPr>
        <w:pStyle w:val="34"/>
        <w:snapToGrid w:val="0"/>
        <w:spacing w:before="0" w:beforeAutospacing="0" w:after="0" w:afterAutospacing="0" w:line="470" w:lineRule="exact"/>
        <w:jc w:val="center"/>
        <w:textAlignment w:val="baseline"/>
        <w:outlineLvl w:val="9"/>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29" w:name="_Toc27026"/>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 xml:space="preserve"> 软件系统</w:t>
      </w:r>
      <w:bookmarkEnd w:id="29"/>
    </w:p>
    <w:p>
      <w:pPr>
        <w:pStyle w:val="34"/>
        <w:snapToGrid w:val="0"/>
        <w:spacing w:before="0" w:beforeAutospacing="0" w:after="0" w:afterAutospacing="0" w:line="470" w:lineRule="exact"/>
        <w:jc w:val="lef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.1信息系统建设</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使用</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专业化</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的办公OA</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等</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基础办公信息化系统，以及财务信息化系统。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.1.2厂站应上线ERP系统以及移动端系统，实现混凝土下单、生产数据查询等功能。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.1.3厂站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上线质量管理系统（QMS），实现质量数据的集中统一管理。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.1.4厂站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上线</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制造执行系统（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MES），具备实时生产消耗、配合比连续计量等功能，并提供安全可靠的开放性接口，应能记录设备工艺条件、运行过程数据，具备搅拌过程电流、时间监测等功能。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.1.5厂站的ERP、MES等信息化系统，应满足湖北省散预信息化平台数据上传要求。</w:t>
      </w:r>
      <w:bookmarkStart w:id="30" w:name="_Toc26691"/>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4信息安全</w:t>
      </w:r>
      <w:bookmarkEnd w:id="30"/>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 xml:space="preserve"> 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 法律法规遵循</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遵循《中华人民共和国网络安全法》要求，配置防病毒软件、防火墙等网络安全防护设备和系统，构建安全体系。</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.1.2厂站应定期开展数据安全保障能力核验，开展攻防演练等，确保合规性。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.1.3厂站应按照《中华人民共和国计算机信息系统安全保护条例》等相关国家标准规范、法规，实施网络系统安全等级保护测评工作。</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.2管理制度与技术措施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.2.1厂站应建立健全数据安全管理制度，使用网络安全产品和服务，确保网络边界安全访问控制及关键节点入侵检测和恶意代码检测能力。</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.2.2厂站应实施数据加密、数据备份与恢复、数据脱敏等数据安全措施。</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 信息安全防护</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1厂站宜通过信息化手段，如实时监控、双主机备份、指定IP访问控制等措施，提升数据安全性。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2厂站宜应优化网络架构，实现云端与本地数据的实时同步。</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31" w:name="_Toc18248"/>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4销售管理</w:t>
      </w:r>
      <w:bookmarkEnd w:id="26"/>
      <w:bookmarkEnd w:id="27"/>
      <w:bookmarkEnd w:id="31"/>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32" w:name="bookmark63"/>
      <w:bookmarkEnd w:id="32"/>
      <w:bookmarkStart w:id="33" w:name="_Toc864"/>
      <w:bookmarkStart w:id="34" w:name="_Toc18399"/>
      <w:bookmarkStart w:id="35" w:name="_Toc1162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4.1合同管理</w:t>
      </w:r>
      <w:bookmarkEnd w:id="33"/>
    </w:p>
    <w:p>
      <w:pPr>
        <w:pStyle w:val="34"/>
        <w:snapToGrid w:val="0"/>
        <w:spacing w:before="0" w:beforeAutospacing="0" w:after="0" w:afterAutospacing="0" w:line="470" w:lineRule="exact"/>
        <w:textAlignment w:val="baseline"/>
        <w:rPr>
          <w:rStyle w:val="19"/>
          <w:rFonts w:hint="default" w:ascii="Times New Roman" w:hAnsi="Times New Roman" w:eastAsia="Segoe UI" w:cs="Times New Roman"/>
          <w:b/>
          <w:bCs/>
          <w:i w:val="0"/>
          <w:iCs w:val="0"/>
          <w:caps w:val="0"/>
          <w:color w:val="000000" w:themeColor="text1"/>
          <w:spacing w:val="0"/>
          <w:sz w:val="22"/>
          <w:szCs w:val="22"/>
          <w:highlight w:val="none"/>
          <w:shd w:val="clear" w:fill="FDFDF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4.1.1 客户信息管理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4.1.1.1厂站</w:t>
      </w:r>
      <w:r>
        <w:rPr>
          <w:rFonts w:hint="eastAsia"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上线销售信息化系统（或ERP销售管理模块），</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实现对客户静态信息（如基本信息）及动态信息（如交易记录</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、信用状况</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）的有效管理。</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4.1.2 销售合同管理与评审</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4.1.2.1厂站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在</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销售信息化系统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中录入销售合同，确保合同中的关键要素（如项目名称、产品标号、方量、价格等）能够准确提供给生产计划等业务环节使用。</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4.1.2.2厂站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通过</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销售信息化系统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进行销售合同的线上评审，提供PC端和手机端等多种便捷的评审渠道，提高评审效率。</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4.1.3销售信息化系统协同</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4.1.3.1厂站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基于ERP系统实现销售信息化系统与生产、库存、财务等系统的对接，促进数字化协同作业</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，实现对厂站生产计划进行精准控制。</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4.1.3.2</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实现接入互联网+平台，实现原材料采购或产品销售的线上化，实现传统业务、信息技术与金融资本的高效协同</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36" w:name="_Toc17487"/>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4.2 客户服务</w:t>
      </w:r>
      <w:bookmarkEnd w:id="36"/>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4.2.1 信息化服务体系</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4.2.1.1厂站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建立包含客户反馈渠道和服务满意度评价制度的规范化信息化服务体系，实现客户服务闭环管理，提升客户满意度。</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4.2.2 客户关系管理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4.2.2.1厂站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上线客户关系管理系统（CRM），对营销线索、客户管理、履约监控等业务进行全流程数字化管理，实现客户全生命周期管理。</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4.2.3 在线客服</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4.2.3.1厂站宜通过客户服务平台或移动客户端等实时提供在线客服支持，快速响应客户需求。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4.2.3.2厂站宜上线项目客服系统，为施工方混凝土交付全过程赋能，实现风险智能预警、混凝土智能签收、账目智能结算、全过程智能监控，让信息更透明、让管理更高效、让体验更舒适。</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37" w:name="_Toc27030"/>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38" w:name="_Toc24527"/>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5物资管理</w:t>
      </w:r>
      <w:bookmarkEnd w:id="37"/>
      <w:bookmarkEnd w:id="38"/>
    </w:p>
    <w:bookmarkEnd w:id="34"/>
    <w:bookmarkEnd w:id="35"/>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39" w:name="_Toc28420"/>
      <w:bookmarkStart w:id="40" w:name="_Toc25871"/>
      <w:bookmarkStart w:id="41" w:name="_Toc30876"/>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5.1</w:t>
      </w:r>
      <w:bookmarkEnd w:id="3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原材采购</w:t>
      </w:r>
      <w:bookmarkEnd w:id="40"/>
      <w:bookmarkEnd w:id="41"/>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42" w:name="_Toc5592"/>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5.1.1 供应商管理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5.1.1.1厂站应基于ERP系统建立统一的材料供应商名录，能自动统计名录内供应商的实际购进量，并具备供应商评价管理功能。</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5.1.2 采购计划下达</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5.1.2.1厂站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通过智能仓储系统实时获取原</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材料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库存信息，根据原料库存和原料需求制定原料采购计划，确保生产过程中不出现断料情况。</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5.1.2.2厂站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通过智能仓储系统的电脑端或移动端完成采购计划的制定和下达，实现厂站和供应商之间的数据贯通，提高采购效率。</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5.1.3 供应商派车发货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5.1.3.1原材料供应商</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通过厂站智能仓储系统，实时接收厂站的采购计划，在线上完成派车送货，提高送货效率。</w:t>
      </w:r>
    </w:p>
    <w:p>
      <w:pPr>
        <w:pStyle w:val="34"/>
        <w:snapToGrid w:val="0"/>
        <w:spacing w:before="0" w:beforeAutospacing="0" w:after="0" w:afterAutospacing="0" w:line="470" w:lineRule="exact"/>
        <w:jc w:val="center"/>
        <w:textAlignment w:val="baseline"/>
        <w:outlineLvl w:val="9"/>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43" w:name="_Toc6590"/>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5.2原材入库</w:t>
      </w:r>
      <w:bookmarkEnd w:id="42"/>
      <w:bookmarkEnd w:id="43"/>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44" w:name="_Toc7412"/>
      <w:bookmarkStart w:id="45" w:name="_Toc19270"/>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5.2.1 卸料指引</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5.2.1.1厂站的骨料仓</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通过智能仓储系统实时获取骨料仓信息，并设置卸料标识牌（电子或非电子显示牌），为司机提供明确的卸料指引。</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5.2.1.2厂站的粉料仓、外加剂仓应设置料仓锁，实现自动指引卸料，确保入场准确充料。</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5.2.2 智能过磅</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5.2.2.1厂站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上线智能过磅系统，具备防作弊系统、对异常情况可自动预警，并利用红外、道闸、地感、射频刷卡、车牌识别、AI分析、拍照存档、LED语音播报等设备，实现稳定可靠的无人监管称重。</w:t>
      </w: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5.2.3 物流管控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5.2.3.1厂站宜基于智能仓储系统，根据生产流转和设备使用逻辑，通过信息化手段优化场区及仓库车辆通行路径、流量、装卸时间和逗留时间。</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46" w:name="_Toc22994"/>
      <w:bookmarkStart w:id="47" w:name="_Toc25761"/>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48" w:name="_Toc1111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5.</w:t>
      </w:r>
      <w:bookmarkEnd w:id="46"/>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3原材库存</w:t>
      </w:r>
      <w:bookmarkEnd w:id="47"/>
      <w:bookmarkEnd w:id="48"/>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5.3.1 智能化管理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5.3.1.1厂站宜上线智能仓储系统，基于条码、二维码、RFID等技术，实现料仓分配、出入库的智能化管理。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5.3.2 料位状态监测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5.3.2.1厂站宜上线料仓监测系统，利用工业无线网和无线传感器自动采集罐内、货仓料位相关信息，对罐内、货仓进行实时监测。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5.3.2.2料仓监测系统应能对储罐状态异常时自动报警，避免冒罐事故发生。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5.3.3 原材料损耗管理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5.3.3.1厂站宜通过料仓监测系统，实时采集原材料库存数据，并根据采购和消耗数据实时计算原材料库存理论值，通过误差分析促进原材料的精细化管理，提高库存管理的准确性和效率，为计量校准提供数据支撑。</w:t>
      </w:r>
    </w:p>
    <w:bookmarkEnd w:id="44"/>
    <w:bookmarkEnd w:id="45"/>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49" w:name="_Toc9797"/>
      <w:bookmarkStart w:id="50" w:name="_Toc15947"/>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51" w:name="_Toc12327"/>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6生产管理</w:t>
      </w:r>
      <w:bookmarkEnd w:id="49"/>
      <w:bookmarkEnd w:id="50"/>
      <w:bookmarkEnd w:id="51"/>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52" w:name="_Toc18211"/>
      <w:bookmarkStart w:id="53" w:name="_Toc8973"/>
      <w:bookmarkStart w:id="54" w:name="_Toc2710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6</w:t>
      </w:r>
      <w:r>
        <w:rPr>
          <w:rFonts w:hint="default" w:ascii="Times New Roman" w:hAnsi="Times New Roman" w:cs="Times New Roman"/>
          <w:b w:val="0"/>
          <w:i w:val="0"/>
          <w:caps w:val="0"/>
          <w:color w:val="000000" w:themeColor="text1"/>
          <w:spacing w:val="0"/>
          <w:w w:val="100"/>
          <w:sz w:val="22"/>
          <w:szCs w:val="24"/>
          <w:highlight w:val="none"/>
          <w:lang w:bidi="en-US"/>
          <w14:textFill>
            <w14:solidFill>
              <w14:schemeClr w14:val="tx1"/>
            </w14:solidFill>
          </w14:textFill>
        </w:rPr>
        <w:t>.1</w:t>
      </w:r>
      <w:bookmarkEnd w:id="5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工控设备</w:t>
      </w:r>
      <w:bookmarkEnd w:id="53"/>
      <w:bookmarkEnd w:id="54"/>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55" w:name="_Toc17549"/>
      <w:bookmarkStart w:id="56" w:name="_Toc23298"/>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6.1.1 全自动工业控制系统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6.1.1.1厂站应采用制造执行系统（MES）实现全自动工业控制（以下简称“工控系统”）进行产品制造。自动获取配合比和生产订单，并自动完成上料、搅拌、卸料等生产过程。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6.1.1.2工控系统应具备生产提前称量、计量、自动修正的功能，能够根据实际需求调整投料顺序和搅拌时间，确保产品质量的稳定性和一致性。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6.1.1.3工控系统应具备数据采集接口和网络端口，支持远程控制生产，并满足 ERP 等外部系统对其进行数据采集。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6.1.2 实时监控与预警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6.1.2.1工控系统应对原材料进料、上料、计量、搅拌和混凝土卸料等生产环节进行实时监控和预警。通过实时数据采集和存储，支持动态数据的实时传输，为生产管理提供及时、准确的信息支持。</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6.1.3 耗能监测与优化</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6.1.3.1工控系统宜实时采集生产用水、用电、用油等耗能数据，实现耗能数字化实时动态监测，建立监测模型。通过耗能在线监测，能够及时发现异常能耗并报警。同时，根据监测数据分析混凝土单位能耗，以及生产流程各工艺对单位能耗的影响，为混凝土绿色生产的持续改善提供科学依据。</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57" w:name="_Toc1769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6</w:t>
      </w:r>
      <w:r>
        <w:rPr>
          <w:rFonts w:hint="default" w:ascii="Times New Roman" w:hAnsi="Times New Roman" w:cs="Times New Roman"/>
          <w:b w:val="0"/>
          <w:i w:val="0"/>
          <w:caps w:val="0"/>
          <w:color w:val="000000" w:themeColor="text1"/>
          <w:spacing w:val="0"/>
          <w:w w:val="100"/>
          <w:sz w:val="22"/>
          <w:szCs w:val="24"/>
          <w:highlight w:val="none"/>
          <w:lang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2生产组织</w:t>
      </w:r>
      <w:bookmarkEnd w:id="55"/>
      <w:bookmarkEnd w:id="56"/>
      <w:bookmarkEnd w:id="57"/>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58" w:name="_Toc16819"/>
      <w:bookmarkStart w:id="59" w:name="_Toc24732"/>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6.2.1 运营监控中心</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6.2.1.1厂站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设置运营监控中心，通过集中管控生产资源和运营活动，提高生产管理的透明度和效率。宜配备数据显示大屏，集中实时呈现生产数据、运营数据、车辆信息等业务数据。</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6.2.2 生产计划管理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6.2.2.1ERP系统</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具备手机端下达计划的功能，用户可通过手机端实时下达和审核生产计划。</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6.2.2.2ERP系统应能够实时获取生产要素信息，对生产计划进行管理和跟踪。根据浇筑计划、发货间隔、运距等制定生产计划，工艺参数下发到机台，生产设备执行生产计划，执行过程的相关信息具备实时采集、工艺可视化，并对异常自动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6.2.2.3ERP系统应能根据实际情况调整计划，控制发货进度，包括暂停、恢复或完成生产发货，以及控制超量发货。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6.2.2.4厂站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采用APS实现智能调度排产。通过信息系统依据生产数量、交期等约束条件自动生成主生产计划。结合厂站生产能力、设备状态、物料资源、生产组织、运力等信息，根据订单动态信息自动安排生产任务执行顺序和排产计划。通过平衡设备和工人的生产负荷，减少订单等待时间，提高资源利用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6.2.3 生产票据规范化管理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6.2.3.1厂站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在ERP系统根据生产任务实现在线打印送货单据，单据内容应包含生产计划中的所有信息，包含但不限于生产时间、操作</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人员</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、车辆、方量等信息。</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6.2.3.2 ERP系统宜实现生产票据信息的录入、跟踪和规范化管理。通过订单在线下达和跟踪管理功能，供需双方可在线实时查询订单状态，并具备可配置订单异常状态的提醒功能，对订单超时、断档数据进行统计分析。</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6.2.4车辆自助进出厂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6.2.4.1厂站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具备车辆自助进出厂装置，实现司机自助完成打印发货单、出场称重、运输交付、空车进场称重等业务，提高车辆进出厂的效率和准确性。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6.2.4.2厂站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配备自助排队装置和系统，通过LED大屏、手机端、语音播报等方式通知司机接料。通过优化排队流程，减少司机等待时间，提高生产效率。</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60" w:name="_Toc14514"/>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6</w:t>
      </w:r>
      <w:r>
        <w:rPr>
          <w:rFonts w:hint="default" w:ascii="Times New Roman" w:hAnsi="Times New Roman" w:cs="Times New Roman"/>
          <w:b w:val="0"/>
          <w:i w:val="0"/>
          <w:caps w:val="0"/>
          <w:color w:val="000000" w:themeColor="text1"/>
          <w:spacing w:val="0"/>
          <w:w w:val="100"/>
          <w:sz w:val="22"/>
          <w:szCs w:val="24"/>
          <w:highlight w:val="none"/>
          <w:lang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3运输交付</w:t>
      </w:r>
      <w:bookmarkEnd w:id="58"/>
      <w:bookmarkEnd w:id="59"/>
      <w:bookmarkEnd w:id="60"/>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61" w:name="_Toc26331"/>
      <w:bookmarkStart w:id="62" w:name="_Toc27070"/>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6.3.1 运输管理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6.3.1.1厂站应在ERP系统实现对车辆和驾驶员的统一管理，通过运输管理系统实现订单、运输计划、运力资源、调度等的数据管理。通过信息系统跟踪运输配送关键节点信息，并将信息反馈给客户。同时，对运输配送全过程进行信息跟踪，对异常轨迹进行报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6.3.1.2厂站应基于车载定位技术和移动端技术，司机通过手机或者PC端自助完成车辆出站、回站，以及通过车辆排队LED显示屏或手机端实现自动排队。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6.3.2 智能监测与预警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6.3.2.1物流车辆应安装定位系统和传感器，实时获取定位、正反转等信息。应与ERP系统实现数据互联，辅助车辆的调度排程。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6.3.2.2厂站宜基于定位系统对预拌混凝土物流车辆途中卸料、疲劳驾驶、视野盲区等问题实现自动预警，异常信息自动存档、上报到监管人员移动端或Web端软件，及时进行处理。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6.3.3 智能签收</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6.3.3.1厂站的项目客服系统宜具备项目手机端电子收货签收功能，通过移动端应用提高收货效率，确保货物安全送达。</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63" w:name="_Toc12829"/>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7环境与安全</w:t>
      </w:r>
      <w:bookmarkEnd w:id="63"/>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64" w:name="_Toc24005"/>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7.1环境管理</w:t>
      </w:r>
      <w:bookmarkEnd w:id="61"/>
      <w:bookmarkEnd w:id="62"/>
      <w:bookmarkEnd w:id="64"/>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7.1.1粉尘、噪声管理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7.1.1.1厂站粉料筒仓、主机楼搅拌机应设置自动除尘装置；厂站应建设封闭式料仓，并配备自动喷淋设施。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7.1.1.2厂站宜在厂区内配备智能雾桩/雾炮车、</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可配备具</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有数据接口的自动破碎机、污水自动回收等智能化清洁设备。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7.1.1.3厂站应在关键部位设置噪声、粉尘、风速和气温传感器，实现环境监测数据实时监测和在线管理，在线预警，依据</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绿色生产相应星级</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的排放指标，</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实现监测传感器与降尘设备联动，</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在线预警及自动降尘处理，确保其污染物排放符合相应的标准要求。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7.1.2 回收和处置系统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7.1.2.1厂站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在废水、废浆处理装置处设置传感器，通过设置在各个处理环节的传感器，实时监测废水中的各种指标，如</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pH值</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、固含量等，相关数据接入ERP，包括数据记录、报表生成、质量评价等。</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7.1.2.2回收和处置系统</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根据废水成分和处理目标，自动调整处理流程。通过智能控制的浓缩和分离设备，将废浆中的固体颗粒分离出来，实现废浆的减量化。</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7.1.3 能耗统计与碳排放计算</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7.1.3.1厂站宜通过环境在线监测系统对生产废水、废浆和固体废弃物用量进行统计，对能耗（水、电、油、气）进行实时监控数据采集。系统宜具备统计混凝土产品能耗进行碳排放计算的功能，为环保决策提供科学依据。</w:t>
      </w:r>
      <w:bookmarkStart w:id="65" w:name="_Toc16108"/>
      <w:bookmarkStart w:id="66" w:name="_Toc1495"/>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67" w:name="_Toc575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7.2安全管理</w:t>
      </w:r>
      <w:bookmarkEnd w:id="65"/>
      <w:bookmarkEnd w:id="66"/>
      <w:bookmarkEnd w:id="67"/>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eastAsia="PingFang-SC-Regular" w:cs="Times New Roman"/>
          <w:color w:val="000000" w:themeColor="text1"/>
          <w:sz w:val="22"/>
          <w:szCs w:val="22"/>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7.2.1安全作业规范化管理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7.2.1.1厂站宜采用信息技术手段，如物联网、大数据分析等，实现安全作业的规范化管理；包括收集和分析安全风险数据、重大危险源的在线监测，以及制定详细的设备维护计划和巡检路线。通过实时监测和分析这些数据，及时发现潜在的安全隐患，提高安全管理水平。</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eastAsia="PingFang-SC-Regular" w:cs="Times New Roman"/>
          <w:color w:val="000000" w:themeColor="text1"/>
          <w:sz w:val="22"/>
          <w:szCs w:val="22"/>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7.2.2安全作业系统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7.2.2.1厂站应上线线上化的安全作业审批系统，对重要设备和危险设备的维修作业进行线上审批，并驱动设备传动、供电、开关灯等设备，实现对作业过程的安全控制。辅助降低人为操作失误的风险，确保维修作业符合安全规范。</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7.2.2.2厂站宜上线线上化的安全隐患排查系统，对厂站重点区域安全情况每日进行巡检落实，对存在安全隐患的地方通过系统完成发现、排查、整改、审核闭环，确保无安全隐患 。</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eastAsia="PingFang-SC-Regular" w:cs="Times New Roman"/>
          <w:color w:val="000000" w:themeColor="text1"/>
          <w:sz w:val="22"/>
          <w:szCs w:val="22"/>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w:t>
      </w:r>
      <w:r>
        <w:rPr>
          <w:rFonts w:hint="default" w:ascii="Times New Roman" w:hAnsi="Times New Roman" w:cs="Times New Roman"/>
          <w:b w:val="0"/>
          <w:i w:val="0"/>
          <w:caps w:val="0"/>
          <w:color w:val="000000" w:themeColor="text1"/>
          <w:spacing w:val="0"/>
          <w:w w:val="100"/>
          <w:sz w:val="21"/>
          <w:szCs w:val="21"/>
          <w:highlight w:val="none"/>
          <w:lang w:val="en-US" w:eastAsia="zh-CN" w:bidi="en-US"/>
          <w14:textFill>
            <w14:solidFill>
              <w14:schemeClr w14:val="tx1"/>
            </w14:solidFill>
          </w14:textFill>
        </w:rPr>
        <w:t>安全预警系统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7.2.3.1厂站宜在关键业务场景实现线上化安全预警系统。利用视频AI技术，实现故障检测、人员检测及行为分析、烟火检测等功能。</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7.2.3.2厂站宜通过视频AI技术，对厂区人员规范着装行为（反光背心、安全帽）进行实时监控和预警，对车辆的运行速度进行实时监控和超速预警。</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7.2.3.3厂站宜通过视频AI技术对铲车作业期间的料场、吊装通道、拌机维修口等进行实时监测和预警，辅助提高安全预警的准确性和及时性，确保人员和设备的安全。</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7.2.3.4厂站宜通过红外感应等技术，依据危险源的安全等级部署电子栅栏。当有人或异常情况进入危险环境时，电子栅栏将自动进行告警、制动等动作。通过智能化手段，提高安全管理水平，减少安全事故的发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sectPr>
          <w:footerReference r:id="rId8" w:type="default"/>
          <w:pgSz w:w="11900" w:h="16840"/>
          <w:pgMar w:top="1463" w:right="1264" w:bottom="1939" w:left="1729" w:header="1032" w:footer="850" w:gutter="0"/>
          <w:pgNumType w:fmt="decimal" w:start="1"/>
          <w:cols w:space="0" w:num="1"/>
          <w:rtlGutter w:val="0"/>
          <w:docGrid w:linePitch="360" w:charSpace="0"/>
        </w:sectPr>
      </w:pP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68" w:name="_Toc9853"/>
      <w:bookmarkStart w:id="69" w:name="_Toc28397"/>
      <w:bookmarkStart w:id="70" w:name="_Toc23761"/>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8质量管理</w:t>
      </w:r>
      <w:bookmarkEnd w:id="68"/>
      <w:bookmarkEnd w:id="69"/>
      <w:bookmarkEnd w:id="70"/>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71" w:name="_Toc31937"/>
      <w:bookmarkStart w:id="72" w:name="_Toc24132"/>
      <w:bookmarkStart w:id="73" w:name="_Toc20460"/>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8</w:t>
      </w:r>
      <w:r>
        <w:rPr>
          <w:rFonts w:hint="default" w:ascii="Times New Roman" w:hAnsi="Times New Roman" w:cs="Times New Roman"/>
          <w:b w:val="0"/>
          <w:i w:val="0"/>
          <w:caps w:val="0"/>
          <w:color w:val="000000" w:themeColor="text1"/>
          <w:spacing w:val="0"/>
          <w:w w:val="100"/>
          <w:sz w:val="22"/>
          <w:szCs w:val="24"/>
          <w:highlight w:val="none"/>
          <w:lang w:bidi="en-US"/>
          <w14:textFill>
            <w14:solidFill>
              <w14:schemeClr w14:val="tx1"/>
            </w14:solidFill>
          </w14:textFill>
        </w:rPr>
        <w:t>.1</w:t>
      </w: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配合比管理</w:t>
      </w:r>
      <w:bookmarkEnd w:id="71"/>
      <w:bookmarkEnd w:id="72"/>
      <w:bookmarkEnd w:id="73"/>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74" w:name="bookmark71"/>
      <w:bookmarkStart w:id="75" w:name="_Toc25835"/>
      <w:bookmarkStart w:id="76" w:name="_Toc28210"/>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8.1.1厂站的信息系统应建立产品标识主数据，便于与第三方系统进行质量数据对接。</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8.1.2</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厂站的ERP系统应建立配合比管理机制，由专人负责管理配合比数据，包括创建和调整配合比数据，确保</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配合比的准确性</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w:t>
      </w:r>
    </w:p>
    <w:bookmarkEnd w:id="74"/>
    <w:p>
      <w:pPr>
        <w:pStyle w:val="34"/>
        <w:tabs>
          <w:tab w:val="left" w:pos="330"/>
        </w:tabs>
        <w:snapToGrid w:val="0"/>
        <w:spacing w:before="0" w:beforeAutospacing="0" w:after="0" w:afterAutospacing="0" w:line="466" w:lineRule="exact"/>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77" w:name="bookmark76"/>
      <w:bookmarkEnd w:id="77"/>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8.1.3厂站应通过信息化手段限制配合比数据的获取，确保配合比的数据安全。配合比数据</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从ERP系统录入，并直接贯通至工控系统，以防止数据被篡改或误操作，</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确保</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混凝土生产的精准性和一致性。</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8"/>
          <w:szCs w:val="28"/>
          <w:highlight w:val="none"/>
          <w:lang w:val="en-US"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8.1.4</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的ERP系统应建立配合比调整控制机制，调整项应根据企业授权程序进行，并按照角色匹配对应的调整权限，实现配合比分级调整控制管理，</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确保</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配合比的准确性和一致性。</w:t>
      </w:r>
    </w:p>
    <w:bookmarkEnd w:id="75"/>
    <w:bookmarkEnd w:id="76"/>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78" w:name="_Toc28773"/>
      <w:bookmarkStart w:id="79" w:name="_Toc20216"/>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80" w:name="_Toc2895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8.2原材料质量检测</w:t>
      </w:r>
      <w:bookmarkEnd w:id="80"/>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8.2.1原材料取样</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8.2.1.1厂站宜上线原材自动取样系统，通过信息化手段实现骨料、粉料的自动取样，取样信息（关联的供应商、过磅单号、送货车辆、原材名称、时间等）能实现自动保存。</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 原材料检验</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8.2.2.1厂站宜</w:t>
      </w:r>
      <w:r>
        <w:rPr>
          <w:rFonts w:hint="default" w:ascii="Times New Roman" w:hAnsi="Times New Roman" w:eastAsia="宋体" w:cs="Times New Roman"/>
          <w:color w:val="000000" w:themeColor="text1"/>
          <w:highlight w:val="none"/>
          <w:lang w:val="en-US" w:eastAsia="zh-CN"/>
          <w14:textFill>
            <w14:solidFill>
              <w14:schemeClr w14:val="tx1"/>
            </w14:solidFill>
          </w14:textFill>
        </w:rPr>
        <w:t>在原</w:t>
      </w:r>
      <w:r>
        <w:rPr>
          <w:rFonts w:hint="eastAsia" w:ascii="Times New Roman" w:hAnsi="Times New Roman" w:cs="Times New Roman"/>
          <w:color w:val="000000" w:themeColor="text1"/>
          <w:highlight w:val="none"/>
          <w:lang w:val="en-US" w:eastAsia="zh-CN"/>
          <w14:textFill>
            <w14:solidFill>
              <w14:schemeClr w14:val="tx1"/>
            </w14:solidFill>
          </w14:textFill>
        </w:rPr>
        <w:t>材料</w:t>
      </w:r>
      <w:r>
        <w:rPr>
          <w:rFonts w:hint="default" w:ascii="Times New Roman" w:hAnsi="Times New Roman" w:eastAsia="宋体" w:cs="Times New Roman"/>
          <w:color w:val="000000" w:themeColor="text1"/>
          <w:highlight w:val="none"/>
          <w:lang w:val="en-US" w:eastAsia="zh-CN"/>
          <w14:textFill>
            <w14:solidFill>
              <w14:schemeClr w14:val="tx1"/>
            </w14:solidFill>
          </w14:textFill>
        </w:rPr>
        <w:t>进料口及储藏区设置</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原</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材料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自动检测系统/设备，</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根据原材料类型设置采样频率</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检测信息由实验设备自动获取，自动生成包含但不限于各项指标的实测值，并可自动判定检测结果。</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8.2.2.2原</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材料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自动检测系统</w:t>
      </w:r>
      <w:r>
        <w:rPr>
          <w:rFonts w:hint="default" w:ascii="Times New Roman" w:hAnsi="Times New Roman" w:eastAsia="宋体" w:cs="Times New Roman"/>
          <w:color w:val="000000" w:themeColor="text1"/>
          <w:highlight w:val="none"/>
          <w:lang w:val="en-US" w:eastAsia="zh-CN"/>
          <w14:textFill>
            <w14:solidFill>
              <w14:schemeClr w14:val="tx1"/>
            </w14:solidFill>
          </w14:textFill>
        </w:rPr>
        <w:t>应定期进行</w:t>
      </w:r>
      <w:r>
        <w:rPr>
          <w:rFonts w:hint="default" w:ascii="Times New Roman" w:hAnsi="Times New Roman" w:cs="Times New Roman"/>
          <w:color w:val="000000" w:themeColor="text1"/>
          <w:highlight w:val="none"/>
          <w:lang w:val="en-US" w:eastAsia="zh-CN"/>
          <w14:textFill>
            <w14:solidFill>
              <w14:schemeClr w14:val="tx1"/>
            </w14:solidFill>
          </w14:textFill>
        </w:rPr>
        <w:t>自动校准或请具备检定资质的第三方机构进行</w:t>
      </w:r>
      <w:r>
        <w:rPr>
          <w:rFonts w:hint="default" w:ascii="Times New Roman" w:hAnsi="Times New Roman" w:eastAsia="宋体" w:cs="Times New Roman"/>
          <w:color w:val="000000" w:themeColor="text1"/>
          <w:highlight w:val="none"/>
          <w:lang w:val="en-US" w:eastAsia="zh-CN"/>
          <w14:textFill>
            <w14:solidFill>
              <w14:schemeClr w14:val="tx1"/>
            </w14:solidFill>
          </w14:textFill>
        </w:rPr>
        <w:t>检定校准</w:t>
      </w:r>
      <w:r>
        <w:rPr>
          <w:rFonts w:hint="default" w:ascii="Times New Roman" w:hAnsi="Times New Roman" w:cs="Times New Roman"/>
          <w:color w:val="000000" w:themeColor="text1"/>
          <w:highlight w:val="none"/>
          <w:lang w:val="en-US" w:eastAsia="zh-CN"/>
          <w14:textFill>
            <w14:solidFill>
              <w14:schemeClr w14:val="tx1"/>
            </w14:solidFill>
          </w14:textFill>
        </w:rPr>
        <w:t>，确保测量结果的准确性和一致性。</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8.2.2.3厂站宜通过混凝土质量管理系统，记录原材料不合格品和不合格指标等数据，提供后续质量追溯。</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8.2.2.4厂站原材料检测合格后，宜通过ERP系统允许进场卸料，并自动将车辆信息关联相应料仓锁。</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8.2.2.5厂站应对所有进场的材料进行批次检测，并将批次检测结果实时记录到混凝土质量管理系统。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8.2.3生产过程检测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both"/>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8.2.3.1厂站宜在上料过程和生产过程中使用原材料信息化检测手段，实现对砂石含水、含泥等质量指标的在线实时监测，并将检测数据记录到混凝土质量管理系统，确保生产过程中的原材料质量符合要求。</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8.2.4质量数据管控</w:t>
      </w:r>
    </w:p>
    <w:p>
      <w:pPr>
        <w:pStyle w:val="34"/>
        <w:keepNext w:val="0"/>
        <w:keepLines w:val="0"/>
        <w:pageBreakBefore w:val="0"/>
        <w:widowControl w:val="0"/>
        <w:tabs>
          <w:tab w:val="left" w:pos="330"/>
        </w:tabs>
        <w:kinsoku/>
        <w:wordWrap/>
        <w:overflowPunct/>
        <w:topLinePunct w:val="0"/>
        <w:autoSpaceDE/>
        <w:autoSpaceDN/>
        <w:bidi w:val="0"/>
        <w:adjustRightInd/>
        <w:snapToGrid w:val="0"/>
        <w:spacing w:before="0" w:beforeAutospacing="0" w:after="0" w:afterAutospacing="0" w:line="466" w:lineRule="exact"/>
        <w:ind w:firstLine="400" w:firstLineChars="200"/>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8.2.4.1</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上线质量管理系统对质量数据进行集中统一管理，实现原材料质量数据的采集、处理、储存和传输，确保生产过程中原材料、半成品、成品等质量信息可追溯，以及实现实验室的设备、人员等信息管理。</w:t>
      </w:r>
    </w:p>
    <w:p>
      <w:pPr>
        <w:pStyle w:val="3"/>
        <w:snapToGrid w:val="0"/>
        <w:spacing w:before="260" w:beforeAutospacing="0" w:after="260" w:afterAutospacing="0" w:line="416" w:lineRule="auto"/>
        <w:jc w:val="center"/>
        <w:textAlignment w:val="baseline"/>
        <w:rPr>
          <w:rFonts w:hint="default" w:ascii="Times New Roman" w:hAnsi="Times New Roman" w:cs="Times New Roman" w:eastAsiaTheme="majorEastAsia"/>
          <w:b w:val="0"/>
          <w:i w:val="0"/>
          <w:caps w:val="0"/>
          <w:color w:val="000000" w:themeColor="text1"/>
          <w:spacing w:val="0"/>
          <w:w w:val="100"/>
          <w:sz w:val="22"/>
          <w:szCs w:val="24"/>
          <w:highlight w:val="none"/>
          <w:lang w:val="en-US" w:eastAsia="zh-CN" w:bidi="en-US"/>
          <w14:textFill>
            <w14:solidFill>
              <w14:schemeClr w14:val="tx1"/>
            </w14:solidFill>
          </w14:textFill>
        </w:rPr>
      </w:pPr>
      <w:bookmarkStart w:id="81" w:name="_Toc20749"/>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8</w:t>
      </w:r>
      <w:r>
        <w:rPr>
          <w:rFonts w:hint="default" w:ascii="Times New Roman" w:hAnsi="Times New Roman" w:cs="Times New Roman"/>
          <w:b w:val="0"/>
          <w:i w:val="0"/>
          <w:caps w:val="0"/>
          <w:color w:val="000000" w:themeColor="text1"/>
          <w:spacing w:val="0"/>
          <w:w w:val="100"/>
          <w:sz w:val="22"/>
          <w:szCs w:val="24"/>
          <w:highlight w:val="none"/>
          <w:lang w:bidi="en-US"/>
          <w14:textFill>
            <w14:solidFill>
              <w14:schemeClr w14:val="tx1"/>
            </w14:solidFill>
          </w14:textFill>
        </w:rPr>
        <w:t>.</w:t>
      </w:r>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3混凝土质量检测</w:t>
      </w:r>
      <w:bookmarkEnd w:id="78"/>
      <w:bookmarkEnd w:id="79"/>
      <w:bookmarkEnd w:id="81"/>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8.3.1厂站宜采用物联网技术对生产设备进行智慧管理，通过数据中台解析设备相关数据随时掌握设备运行状态，确保计量器具数据准确性，保障预拌混凝土拌和质量。</w:t>
      </w:r>
      <w:bookmarkStart w:id="82" w:name="bookmark93"/>
      <w:bookmarkEnd w:id="82"/>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83" w:name="bookmark92"/>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8.3.2</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宜在试块制作、脱模、养护、检测环节实现自动化，通过智能化装备完成试块制作，脱模、养护、自动检测，过程数据实时存储到质量管理系统。</w:t>
      </w:r>
      <w:bookmarkEnd w:id="83"/>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8.3.3</w:t>
      </w:r>
      <w:r>
        <w:rPr>
          <w:rFonts w:hint="default" w:ascii="Times New Roman" w:hAnsi="Times New Roman" w:cs="Times New Roman"/>
          <w:b w:val="0"/>
          <w:i w:val="0"/>
          <w:caps w:val="0"/>
          <w:color w:val="000000" w:themeColor="text1"/>
          <w:spacing w:val="0"/>
          <w:w w:val="100"/>
          <w:sz w:val="20"/>
          <w:highlight w:val="none"/>
          <w:lang w:val="en-US" w:eastAsia="zh-TW" w:bidi="en-US"/>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应对出厂混凝土容重进行智能监测以管控混凝土质量，自助称重并结合运单数据自动进行数据分析，</w:t>
      </w:r>
      <w:r>
        <w:rPr>
          <w:rFonts w:hint="default" w:ascii="Times New Roman" w:hAnsi="Times New Roman" w:cs="Times New Roman"/>
          <w:b w:val="0"/>
          <w:i w:val="0"/>
          <w:caps w:val="0"/>
          <w:strike w:val="0"/>
          <w:dstrike w:val="0"/>
          <w:color w:val="000000" w:themeColor="text1"/>
          <w:spacing w:val="0"/>
          <w:w w:val="100"/>
          <w:sz w:val="20"/>
          <w:highlight w:val="none"/>
          <w:lang w:val="en-US" w:eastAsia="zh-CN" w:bidi="en-US"/>
          <w14:textFill>
            <w14:solidFill>
              <w14:schemeClr w14:val="tx1"/>
            </w14:solidFill>
          </w14:textFill>
        </w:rPr>
        <w:t>将结果实时反馈给质检并记录到</w:t>
      </w:r>
      <w:r>
        <w:rPr>
          <w:rFonts w:hint="default" w:ascii="Times New Roman" w:hAnsi="Times New Roman" w:cs="Times New Roman"/>
          <w:b w:val="0"/>
          <w:i w:val="0"/>
          <w:caps w:val="0"/>
          <w:strike w:val="0"/>
          <w:color w:val="000000" w:themeColor="text1"/>
          <w:spacing w:val="0"/>
          <w:w w:val="100"/>
          <w:sz w:val="20"/>
          <w:highlight w:val="none"/>
          <w:lang w:val="en-US" w:eastAsia="zh-CN" w:bidi="en-US"/>
          <w14:textFill>
            <w14:solidFill>
              <w14:schemeClr w14:val="tx1"/>
            </w14:solidFill>
          </w14:textFill>
        </w:rPr>
        <w:t>混凝土质量管理系统</w:t>
      </w:r>
      <w:r>
        <w:rPr>
          <w:rFonts w:hint="default" w:ascii="Times New Roman" w:hAnsi="Times New Roman" w:eastAsia="宋体" w:cs="Times New Roman"/>
          <w:i w:val="0"/>
          <w:iCs w:val="0"/>
          <w:caps w:val="0"/>
          <w:strike w:val="0"/>
          <w:dstrike w:val="0"/>
          <w:color w:val="000000" w:themeColor="text1"/>
          <w:spacing w:val="0"/>
          <w:sz w:val="20"/>
          <w:szCs w:val="20"/>
          <w:highlight w:val="none"/>
          <w:shd w:val="clear" w:fill="FDFDFE"/>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0"/>
          <w:szCs w:val="20"/>
          <w:highlight w:val="none"/>
          <w:shd w:val="clear" w:fill="FDFDFE"/>
          <w14:textFill>
            <w14:solidFill>
              <w14:schemeClr w14:val="tx1"/>
            </w14:solidFill>
          </w14:textFill>
        </w:rPr>
        <w:t>以便后续追溯和改进</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8.3.4厂站应实时管控搅拌车的运输路线、进出料口，宜通过信息化手段对偷料、往拌筒内私自加水的等行为实行监控，确保</w:t>
      </w:r>
      <w:r>
        <w:rPr>
          <w:rFonts w:hint="default" w:ascii="Times New Roman" w:hAnsi="Times New Roman" w:eastAsia="宋体" w:cs="Times New Roman"/>
          <w:i w:val="0"/>
          <w:iCs w:val="0"/>
          <w:caps w:val="0"/>
          <w:color w:val="000000" w:themeColor="text1"/>
          <w:spacing w:val="0"/>
          <w:sz w:val="20"/>
          <w:szCs w:val="20"/>
          <w:highlight w:val="none"/>
          <w:shd w:val="clear" w:fill="FDFDFE"/>
          <w14:textFill>
            <w14:solidFill>
              <w14:schemeClr w14:val="tx1"/>
            </w14:solidFill>
          </w14:textFill>
        </w:rPr>
        <w:t>凝土质量不受影响</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8.3.5厂站宜</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安装</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搅拌主机看料系统，通过摄像头等设备实时查看搅拌主机混凝土性能状态。</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8.3.6厂站宜在生产过程中采用自动取样检测手段，提高实验效率和准确性，自动取样并完成坍落度、扩展度检测，并将数据实时保存到</w:t>
      </w:r>
      <w:r>
        <w:rPr>
          <w:rFonts w:hint="default" w:ascii="Times New Roman" w:hAnsi="Times New Roman" w:cs="Times New Roman"/>
          <w:b w:val="0"/>
          <w:i w:val="0"/>
          <w:caps w:val="0"/>
          <w:strike w:val="0"/>
          <w:color w:val="000000" w:themeColor="text1"/>
          <w:spacing w:val="0"/>
          <w:w w:val="100"/>
          <w:sz w:val="20"/>
          <w:highlight w:val="none"/>
          <w:lang w:val="en-US" w:eastAsia="zh-CN" w:bidi="en-US"/>
          <w14:textFill>
            <w14:solidFill>
              <w14:schemeClr w14:val="tx1"/>
            </w14:solidFill>
          </w14:textFill>
        </w:rPr>
        <w:t>混凝土质量管理系统</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，以便后续分析和追溯。</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p>
    <w:p>
      <w:pPr>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pPr>
      <w:bookmarkStart w:id="84" w:name="_Toc30455"/>
      <w:r>
        <w:rPr>
          <w:rFonts w:hint="default" w:ascii="Times New Roman" w:hAnsi="Times New Roman" w:cs="Times New Roman"/>
          <w:b w:val="0"/>
          <w:i w:val="0"/>
          <w:caps w:val="0"/>
          <w:color w:val="000000" w:themeColor="text1"/>
          <w:spacing w:val="0"/>
          <w:w w:val="100"/>
          <w:sz w:val="28"/>
          <w:szCs w:val="28"/>
          <w:highlight w:val="none"/>
          <w:lang w:val="en-US" w:eastAsia="zh-CN" w:bidi="zh-CN"/>
          <w14:textFill>
            <w14:solidFill>
              <w14:schemeClr w14:val="tx1"/>
            </w14:solidFill>
          </w14:textFill>
        </w:rPr>
        <w:t>9  财务及报表</w:t>
      </w:r>
      <w:bookmarkEnd w:id="84"/>
      <w:bookmarkStart w:id="85" w:name="_Toc24322"/>
      <w:bookmarkStart w:id="86" w:name="_Toc28492"/>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87" w:name="_Toc32202"/>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9.1财务管理</w:t>
      </w:r>
      <w:bookmarkEnd w:id="87"/>
    </w:p>
    <w:p>
      <w:pPr>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9.1.1 信息化财务管理系统</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9.1.1.1厂站应上线信息化的财务管理系统，建立企业全面数据标准化体系，形成业务财务共同认可的数据标准，实现应收账款、应付账款等财务信息的在线查询和分析，为财务资源优化配置提供决策参考。</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bookmarkStart w:id="88" w:name="_Toc25033"/>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9.2结算及报表管理</w:t>
      </w:r>
      <w:bookmarkEnd w:id="88"/>
    </w:p>
    <w:p>
      <w:pPr>
        <w:pStyle w:val="34"/>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9.2.1 电子结算与效率提升</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9.2.2.1厂站宜集成应用ERP系统和财务信息化系统等，形成从业务数据采集、业务数据集成、业务数据核算、财务收支的数据供应链。</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9.2.2业务报表</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9.2.2.1厂站宜依据企业管理所需格式自动生成统计报表，包含产值、产量、结算等多类型报表。</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9.2.2.2厂站宜根据业务往来情况自动实现应收应付管理，并对应收应付情况进行自动分级预警。</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9.2.2.3厂站宜自动提取支付系统的交易数据，依据交易信息完成收付款管理信息系统，包含但不限于收付双方名称、结算状态、业务类型、资金金额、账户信息、交易信息流水号等信息。</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9.2.2.4厂站宜具备发票和收据自动管理功能，相关信息可与业务实际发生情况进行核验，对异常票据实时预警。</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bookmarkEnd w:id="85"/>
    <w:bookmarkEnd w:id="86"/>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89" w:name="_Toc26071"/>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10前沿技术</w:t>
      </w:r>
      <w:bookmarkEnd w:id="89"/>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0" w:name="_Toc15680"/>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10.1工艺设计与优化</w:t>
      </w:r>
      <w:bookmarkEnd w:id="90"/>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10.1.1厂站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建立数据模型，基于质量、成本等数据运用三维仿真等技术实现对于工艺设计的模拟仿真、迭代优化。</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10.1.2厂站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应用前沿技术（AI、大数据等）开展产品质量检测，提升检测效率和检测水平，构建产品质量管理模型，实现产品质量影响因素识别及缺陷预测性分析。</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1" w:name="_Toc28984"/>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10.2 智能协同</w:t>
      </w:r>
      <w:bookmarkEnd w:id="91"/>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使用人工智能等前沿技术，实现销售、财务、生产、供应链之间的数字化协同，实现实时销售预测，并自动或半自动制定采购、生产、物流等计划或方案，不断提升柔性化制造水平。</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10.2.2厂站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运用人工智能等前沿技术，建立生产排产与调度算法模型，实现自动给出满足多种约束条件的优化排产方案，形成优化的详细生产作业计划，生产情况实时监测， 提前处理生产过程中的波动和风险，实现动态实时的生产排产和调度。</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10.2.3厂站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运用人工智能等前沿技术，实现采购与内外部供应链之间的数字化协同，并实现供应链风险预警预测，动态优化采购策略和方案。</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10.2.4厂站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运用人工智能等前沿技术，建立数字孪生系统（DT），实现厂站三维建模，数据可视化呈现，视频监控、关键状态指标与三维场景结合，提升管理透明度和效率。</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2" w:name="_Toc14313"/>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10.3 客户服务</w:t>
      </w:r>
      <w:bookmarkEnd w:id="92"/>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10.3.1厂站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基于信息系统实现面向客户的精细化管理（如订单管理、配送跟踪、评价投诉等）；或建立客户服务数据模型，实现满足客户需求的高效、精准服务。</w:t>
      </w: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3" w:name="_Toc18556"/>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10.4监控与预警</w:t>
      </w:r>
      <w:bookmarkEnd w:id="93"/>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10.4.2厂站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建立设备运行模型和设备故障知识库，实现设备故障自动预警及自动制定预测维护解决方案，并基于设备综合效率的分析等驱动工艺优化和生产作业计划优化。</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10.4.3厂站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基于安全作业、风险管控等数据的分析及建模，实现危险源的预防性管理、自动预警及响应处理。</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10.4.4厂站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建立设备能耗监测与优化算法模型，实现设备能耗实时监测、能源转化效率分析、未来能耗预测及能源优化调度等。</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4" w:name="_Toc894"/>
      <w:r>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t>10.5智能仓储及物流</w:t>
      </w:r>
      <w:bookmarkEnd w:id="94"/>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10.5.1厂站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使用人工智能等前沿技术，实现仓储物流与供应商库存或客户生产计划间的数字化协同，并能够实现物流计划的自动制定或厂内物料自动配送； 或按照产供销状况，实现智能仓储（如智能预测库存需求，自动调整库存补货策略等）及厂外智能物流（物流监测与策略优化）。</w:t>
      </w:r>
    </w:p>
    <w:p>
      <w:pPr>
        <w:snapToGrid w:val="0"/>
        <w:spacing w:before="260" w:beforeAutospacing="0" w:after="260" w:afterAutospacing="0" w:line="416" w:lineRule="auto"/>
        <w:jc w:val="center"/>
        <w:textAlignment w:val="baseline"/>
        <w:outlineLvl w:val="9"/>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p>
    <w:p>
      <w:pPr>
        <w:pStyle w:val="3"/>
        <w:snapToGrid w:val="0"/>
        <w:spacing w:before="260" w:beforeAutospacing="0" w:after="260" w:afterAutospacing="0" w:line="416" w:lineRule="auto"/>
        <w:jc w:val="center"/>
        <w:textAlignment w:val="baseline"/>
        <w:rPr>
          <w:rFonts w:hint="default" w:ascii="Times New Roman" w:hAnsi="Times New Roman" w:cs="Times New Roman"/>
          <w:b w:val="0"/>
          <w:i w:val="0"/>
          <w:caps w:val="0"/>
          <w:color w:val="000000" w:themeColor="text1"/>
          <w:spacing w:val="0"/>
          <w:w w:val="100"/>
          <w:sz w:val="22"/>
          <w:szCs w:val="24"/>
          <w:highlight w:val="none"/>
          <w:lang w:val="en-US" w:eastAsia="zh-CN" w:bidi="en-US"/>
          <w14:textFill>
            <w14:solidFill>
              <w14:schemeClr w14:val="tx1"/>
            </w14:solidFill>
          </w14:textFill>
        </w:rPr>
      </w:pPr>
      <w:bookmarkStart w:id="95" w:name="_Toc31799"/>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10.6 智能化办公与决策支持</w:t>
      </w:r>
      <w:bookmarkEnd w:id="95"/>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10.6.1厂站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应用人工智能等前沿技术实现内部、外部数据的协同，在自动问答、智能推荐、智能预测分析和自适应工作流程等办公场景，组织员工在高度互联和智能化环境中实现无缝协作办公。</w:t>
      </w:r>
    </w:p>
    <w:p>
      <w:pPr>
        <w:pStyle w:val="34"/>
        <w:tabs>
          <w:tab w:val="left" w:pos="330"/>
        </w:tabs>
        <w:snapToGrid w:val="0"/>
        <w:spacing w:before="0" w:beforeAutospacing="0" w:after="0" w:afterAutospacing="0" w:line="466" w:lineRule="exact"/>
        <w:textAlignment w:val="baseline"/>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10.6.2厂站</w:t>
      </w:r>
      <w:r>
        <w:rPr>
          <w:rFonts w:hint="eastAsia"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val="en-US" w:eastAsia="zh-CN" w:bidi="en-US"/>
          <w14:textFill>
            <w14:solidFill>
              <w14:schemeClr w14:val="tx1"/>
            </w14:solidFill>
          </w14:textFill>
        </w:rPr>
        <w:t>运用人工智能等前沿技术整合企业内外部数据，构建智能化的预测、预警和决策模型，辅助管理层或业务人员进行智能化流程决策，挖掘数据背后的深层次规律和价值。</w:t>
      </w:r>
    </w:p>
    <w:p>
      <w:pP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96" w:name="_Toc10526"/>
      <w:bookmarkStart w:id="97" w:name="_Toc16324"/>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br w:type="page"/>
      </w:r>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pPr>
      <w:bookmarkStart w:id="98" w:name="_Toc1282"/>
      <w:r>
        <w:rPr>
          <w:rFonts w:hint="default" w:ascii="Times New Roman" w:hAnsi="Times New Roman" w:cs="Times New Roman"/>
          <w:b w:val="0"/>
          <w:i w:val="0"/>
          <w:caps w:val="0"/>
          <w:color w:val="000000" w:themeColor="text1"/>
          <w:spacing w:val="0"/>
          <w:w w:val="100"/>
          <w:sz w:val="28"/>
          <w:szCs w:val="28"/>
          <w:highlight w:val="none"/>
          <w:lang w:val="en-US" w:eastAsia="zh-TW" w:bidi="zh-CN"/>
          <w14:textFill>
            <w14:solidFill>
              <w14:schemeClr w14:val="tx1"/>
            </w14:solidFill>
          </w14:textFill>
        </w:rPr>
        <w:t>11分类评价</w:t>
      </w:r>
      <w:bookmarkEnd w:id="96"/>
      <w:bookmarkEnd w:id="97"/>
      <w:bookmarkEnd w:id="98"/>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本导则为适应武汉市行政区域内预拌混凝土企业在信息化水平上的差异性，参照《智能制造能力成熟度模型》对其智能化等级进行合理划分，并制定了相应的分级标准，旨在为</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提供明确的智能化建设和达标指导。具体的分级评价标准，参见表11-1，评分依据参照附录A。</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表11-1 武汉市智能化厂站分级依据及评分标准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659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t>等级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t>评价要素</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一级</w:t>
            </w:r>
          </w:p>
          <w:p>
            <w:pPr>
              <w:pStyle w:val="34"/>
              <w:snapToGrid w:val="0"/>
              <w:spacing w:before="0" w:beforeAutospacing="0" w:after="0" w:afterAutospacing="0" w:line="470" w:lineRule="exact"/>
              <w:jc w:val="both"/>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（基础级）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企业应开始对实施智能制造的基础和条件进行规划，能够对核心业务活动(设计、生产、物流、销售、服务)进行流程化管理</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二级</w:t>
            </w:r>
          </w:p>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（规范级）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企业应采用自动化技术、信息技术手段对核心装备和核心业务活动等进行改造和规</w:t>
            </w:r>
            <w:bookmarkStart w:id="99" w:name="bookmark24"/>
            <w:bookmarkEnd w:id="99"/>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范，实现单一业务活动的数据共享</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w:t>
            </w: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三级</w:t>
            </w:r>
          </w:p>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（集成级）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企业应对装备、系统等开展集成，实现跨业务活动间的数据共享</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四级</w:t>
            </w:r>
          </w:p>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（引领级）</w:t>
            </w:r>
          </w:p>
        </w:tc>
        <w:tc>
          <w:tcPr>
            <w:tcW w:w="6595" w:type="dxa"/>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企业应对人员、资源、制造等进行数据挖掘，形成知识、模型等，实现对核心业务活动的精准预测和优化，并基于模型持续驱动业务活动的优化和创新，实现产业链协同并衍生新的制造模式和商业模式</w:t>
            </w:r>
          </w:p>
        </w:tc>
        <w:tc>
          <w:tcPr>
            <w:tcW w:w="0" w:type="auto"/>
            <w:vAlign w:val="center"/>
          </w:tcPr>
          <w:p>
            <w:pPr>
              <w:pStyle w:val="34"/>
              <w:snapToGrid w:val="0"/>
              <w:spacing w:before="0" w:beforeAutospacing="0" w:after="0" w:afterAutospacing="0" w:line="470" w:lineRule="exact"/>
              <w:jc w:val="center"/>
              <w:textAlignment w:val="baseline"/>
              <w:rPr>
                <w:rFonts w:hint="default" w:ascii="Times New Roman" w:hAnsi="Times New Roman" w:cs="Times New Roman"/>
                <w:b w:val="0"/>
                <w:i w:val="0"/>
                <w:caps w:val="0"/>
                <w:color w:val="000000" w:themeColor="text1"/>
                <w:spacing w:val="0"/>
                <w:w w:val="100"/>
                <w:sz w:val="20"/>
                <w:highlight w:val="none"/>
                <w:vertAlign w:val="baseline"/>
                <w:lang w:val="en-US" w:eastAsia="zh-CN"/>
                <w14:textFill>
                  <w14:solidFill>
                    <w14:schemeClr w14:val="tx1"/>
                  </w14:solidFill>
                </w14:textFill>
              </w:rPr>
            </w:pPr>
            <w:r>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t>≥90</w:t>
            </w:r>
          </w:p>
        </w:tc>
      </w:tr>
    </w:tbl>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textAlignment w:val="baseline"/>
        <w:rPr>
          <w:rFonts w:hint="default" w:ascii="Times New Roman" w:hAnsi="Times New Roman" w:cs="Times New Roman"/>
          <w:b w:val="0"/>
          <w:i w:val="0"/>
          <w:color w:val="000000" w:themeColor="text1"/>
          <w:spacing w:val="0"/>
          <w:w w:val="100"/>
          <w:sz w:val="20"/>
          <w:highlight w:val="none"/>
          <w:lang w:val="en-US" w:eastAsia="zh-CN"/>
          <w14:textFill>
            <w14:solidFill>
              <w14:schemeClr w14:val="tx1"/>
            </w14:solidFill>
          </w14:textFill>
        </w:rPr>
      </w:pP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bookmarkStart w:id="100" w:name="_Toc30681"/>
      <w:bookmarkStart w:id="101" w:name="_Toc28253"/>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智能化分级评价体系从基础规定、销售管理、物资管理、生产管理、环境与安全管理、质量管理、财务及报表管理以及前沿技术应用等多个维度对</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的智能化水平进行综合评估。每一项评价指标都明确了具体的智能化要求，这些要求进一步细分为控制项和一般项。</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1. 智能化分级评价体系的构建</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控制项：为</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必须满足的基本要求，是智能化建设的核心内容，确保</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在关键环节达到基本的智能化标准。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一般项：为</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可以灵活选择的扩展要求，用于进一步提升智能化水平，</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在满足控制项的基础上，通过一般项来积累分数，以满足更高星级的评级要求。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2. 评级方法与标准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进行评级时，需遵循逐级评定的原则。具体评级标准如下：</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一级智能化等级：</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必须满足所有一级控制项的要求。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二级智能化等级：</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不仅要满足一级控制项，还需达成二级控制项所设定的标准。</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三级智能化等级：</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需同时满足一级、二级控制项，以及三级控制项的要求。</w:t>
      </w:r>
    </w:p>
    <w:p>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470" w:lineRule="exact"/>
        <w:ind w:firstLine="400" w:firstLineChars="200"/>
        <w:textAlignment w:val="baseline"/>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四级智能化等级：</w:t>
      </w:r>
      <w:r>
        <w:rPr>
          <w:rFonts w:hint="eastAsia"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厂站</w:t>
      </w:r>
      <w:r>
        <w:rPr>
          <w:rFonts w:hint="default" w:ascii="Times New Roman" w:hAnsi="Times New Roman" w:cs="Times New Roman"/>
          <w:b w:val="0"/>
          <w:i w:val="0"/>
          <w:caps w:val="0"/>
          <w:color w:val="000000" w:themeColor="text1"/>
          <w:spacing w:val="0"/>
          <w:w w:val="100"/>
          <w:sz w:val="20"/>
          <w:highlight w:val="none"/>
          <w:lang w:val="en-US" w:eastAsia="zh-CN"/>
          <w14:textFill>
            <w14:solidFill>
              <w14:schemeClr w14:val="tx1"/>
            </w14:solidFill>
          </w14:textFill>
        </w:rPr>
        <w:t>需同时满足一级、二级、三级控制项，以及四级控制项的要求。</w:t>
      </w:r>
      <w:r>
        <w:rPr>
          <w:rFonts w:hint="default" w:ascii="Times New Roman" w:hAnsi="Times New Roman" w:cs="Times New Roman"/>
          <w:color w:val="000000" w:themeColor="text1"/>
          <w:highlight w:val="none"/>
          <w:lang w:val="en-US" w:eastAsia="zh-CN"/>
          <w14:textFill>
            <w14:solidFill>
              <w14:schemeClr w14:val="tx1"/>
            </w14:solidFill>
          </w14:textFill>
        </w:rPr>
        <w:br w:type="page"/>
      </w:r>
    </w:p>
    <w:p>
      <w:pPr>
        <w:pStyle w:val="2"/>
        <w:keepNext/>
        <w:keepLines/>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themeColor="text1"/>
          <w:highlight w:val="none"/>
          <w:lang w:val="en-US" w:eastAsia="zh-CN"/>
          <w14:textFill>
            <w14:solidFill>
              <w14:schemeClr w14:val="tx1"/>
            </w14:solidFill>
          </w14:textFill>
        </w:rPr>
        <w:sectPr>
          <w:pgSz w:w="11900" w:h="16840"/>
          <w:pgMar w:top="1463" w:right="1264" w:bottom="1939" w:left="1729" w:header="1032" w:footer="850" w:gutter="0"/>
          <w:pgNumType w:fmt="decimal"/>
          <w:cols w:space="0" w:num="1"/>
          <w:rtlGutter w:val="0"/>
          <w:docGrid w:linePitch="360" w:charSpace="0"/>
        </w:sectPr>
      </w:pPr>
    </w:p>
    <w:p>
      <w:pPr>
        <w:pStyle w:val="2"/>
        <w:keepNext/>
        <w:keepLines/>
        <w:pageBreakBefore w:val="0"/>
        <w:widowControl/>
        <w:kinsoku/>
        <w:wordWrap/>
        <w:overflowPunct/>
        <w:topLinePunct w:val="0"/>
        <w:autoSpaceDE/>
        <w:autoSpaceDN/>
        <w:bidi w:val="0"/>
        <w:adjustRightInd/>
        <w:snapToGrid/>
        <w:spacing w:line="240" w:lineRule="auto"/>
        <w:jc w:val="center"/>
        <w:textAlignment w:val="auto"/>
        <w:rPr>
          <w:rFonts w:hint="default"/>
          <w:color w:val="000000" w:themeColor="text1"/>
          <w:highlight w:val="none"/>
          <w:lang w:val="en-US" w:eastAsia="zh-CN"/>
          <w14:textFill>
            <w14:solidFill>
              <w14:schemeClr w14:val="tx1"/>
            </w14:solidFill>
          </w14:textFill>
        </w:rPr>
      </w:pPr>
      <w:bookmarkStart w:id="102" w:name="_Toc305"/>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附录A《武汉市预拌混凝土厂站智能化技术导则》分级评价表</w:t>
      </w:r>
      <w:bookmarkEnd w:id="102"/>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016"/>
        <w:gridCol w:w="713"/>
        <w:gridCol w:w="1061"/>
        <w:gridCol w:w="418"/>
        <w:gridCol w:w="869"/>
        <w:gridCol w:w="4187"/>
        <w:gridCol w:w="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一级指标</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二级指标</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项目</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分值</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指标类型</w:t>
            </w:r>
          </w:p>
        </w:tc>
        <w:tc>
          <w:tcPr>
            <w:tcW w:w="2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评分标准</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c>
          <w:tcPr>
            <w:tcW w:w="2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基础设施</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软硬件设施</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软硬件设施</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厂站建立机房（</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3.1.1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）、建立网络与通信系统（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3.1.2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）、设备状态监控系统（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3.1.4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）、计量系统（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3.1.5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具备专业办公软件等基础信息化系统（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3.2.1.1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制造执行</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MES系统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厂站工控系统具备生产提前称量、计量、自动修正的功能（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6.1.1.2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）、支持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ERP</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等外部系统对其进行数据采集（</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6.1.1.3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）、具备实时监控与预警功能（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）。满足湖北省散预信息化平台数据上传要求（</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厂站工控系统应具备全自动生产功能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实现生产过程无人控制（</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6.1.1.1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厂站管理平台</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ERP系统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ERP</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系统具备部分物资管理功能（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5.1.1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5.1.2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）、部分生产计划管理功能（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6.2.2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6.2.3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）、运输管理功能（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6.3.1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）、配合比管理功能（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三级控制项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ERP</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系统具备供应商派车发货功能（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）、车辆自动进出厂管理功能（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6.2.4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网络安全建设</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专业杀毒软件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在工控电脑、</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ERP</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服务器设置专业杀毒软件（</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3.3.1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在所有计算机设备设置专业杀毒软件（</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3.3.1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防火墙设备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二级控制项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设置企业级防火墙设备（</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3.3.1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销售管理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销售信息化</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销售信息化系统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二级控制项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销售信息化系统具备对客户静态信息（如基本信息）及动态信息（如交易记录、信用状况）的管理功能、具备销售合同线上录入、评审等管理功能（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4.1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互联网</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产业链协同线上化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三级控制项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厂站实现接入互联网</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平台，实现原材料采购或产品销售的线上化，实现传统业务、信息技术与金融资本的高效协同（</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4.1.3.2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客户关系管理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客户关系管理系统（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CRM</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四级控制项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具备客户关系管理系统（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CRM</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），对营销线索、客户管理、履约监控等业务进行全流程数字化管理，实现客户全生命周期管理（</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4.2.2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项目客服</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项目客服系统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三级控制项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具备项目客服系统，实现混凝土采购计划下达、智能签收、账目智能结算（</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4.2.3.2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实现风险智能预警、全过程智能监控（</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4.2.3.2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15</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物资管理</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智能仓储</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智能过磅系统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二级控制项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材料车进出场环节实现上磅后摄像头自动识别车辆信息（包括车牌号、供应商、本车原材料信息、过磅数据等）（</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三级控制项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智能过磅系统可根据原材料库存情况实现粉料智能开锁、自动分仓、磅房无人值守（</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5.3.1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17</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粉料仓储系统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三级控制项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具备料仓监测系统，自动采集罐内、货仓料位相关信息，实时监测罐内、货仓情况，可对储罐状态异常自动报警（</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实现与智能过磅系统的数据贯通，与车辆出厂过磅进行数据联动，实现料仓锁开启</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关闭（</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液剂仓储系统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具备料仓监测系统，实时监测罐内、货仓情况，可对储罐状态异常自动报警（</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20</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生产管理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运营监控中心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可视化数据大屏</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四级控制项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具备可视化数字大屏运营指挥中心，集中呈现厂站生产数据、运营数据、车辆信息、生产资源等业务数据（</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6.2.1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设备管理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设备监控管理系统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三级控制项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厂站对上料系统、传输系统、空气动力系统运行情况具备监控管理功能（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3.1.4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视频监控</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视频监控平台</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厂站关键部位试配室、搅拌机卸料口、搅拌楼出入口等区域配置至少</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路视频监控设备（</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分），磅房仪表显示处至少配置</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路视频监控设备（</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分）。厂站的视频监控系统符合湖北省散预信息化平台接入技术要求（</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厂站通过远程视频监控方式获取现场浇筑画面（</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智能调度</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 xml:space="preserve"> 智能排产系统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四级控制项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系统可依据生产数量、交期等约束条件自动生成主生产计划、可结合厂站生产能力、设备状态、物料资源、生产组织、运力等信息自动安排执行生产计划（</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6.2.2.4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25</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车辆排队系统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二级控制项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系统可基于车载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GPS</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定位技术，实现车辆线上出站、回站，通过车辆排队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LED</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显示屏或手机端实现自动排队（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6.3.1.2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智能运输交付</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物流车辆安装符合</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808</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协议标准的北斗定位系统和传感器，可实时获取定位、正反转等信息（</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分）；可与</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ERP</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等外部系统实现数据互通，可传输至湖北省散预信息化平台（</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27</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系统可对预拌混凝土物流车辆途中卸料、疲劳驾驶、视野盲区等问题实现自动预警，异常信息自动存档、上报到监管人员移动端或</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Web</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端软件，及时进行处理（</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6.3.2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28</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环境与安全</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环境管理</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环境在线监测系统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厂站在关键部位设置噪声、粉尘、风速和气温传感器（</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7.1.1.3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实现环境监测数据实时监测和在线管理、在线预警、自动降尘处理（</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7.1.1.3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30</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清洁生产</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自动除尘装置</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厂站在粉料筒仓、主机楼搅拌机设置自动除尘装置（</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7.1.1.1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厂区清洁装置</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建设封闭式料仓并配备自动喷淋设施，在厂区内配备智能雾桩</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雾炮车（</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7.1.1.2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废水、废浆处理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在废水、废浆处理装置处设置传感器，根据废水成分和处理目标，自动处置（</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7.1.1.3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安全管理</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安全预警系统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二级控制项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厂站依据危险源的安全等级，部署电子栅栏（</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7.2.3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具备安全预警系统，实现危险区域非法闯入预警功能。（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7.2.3</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35</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安全作业系统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具备安全作业审批系统，对重要设备和危险设备的维修作业进行线上审批，实现对搅拌机维修作业过程的安全控制（</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7.2.2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实现其他重要安全作业，并驱动设备传动、供电等设备，实现对作业过程的安全控制（</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7.2.2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37</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质量管理</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质量管理</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质量管理系统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四级控制项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具备质量管理系统，实现混凝土生产全过程质量信息的采集、统计分析、监控、预警以及预测等功能（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8.2.4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实现实验室的设备、人员等信息管理功能（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8.2.4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39</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搅拌主机看料系统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具备搅拌机主机看料系统，实现生产过程中，质检员可查看搅拌主机混凝土性能状态（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8.3.5</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40</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原</w:t>
            </w:r>
            <w: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材料</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自动取样系统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四级控制项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具备原材料自动取样系统，实现一种原材料自动取样（</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8.2.1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41</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具备原材料自动取样系统，实现两种及以上原材料的自动取样（</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8.2.1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42</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原</w:t>
            </w:r>
            <w: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材料</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自动检测系统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三级控制项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具备原材料自动检测系统，实现一种原材料的自动检测并判定检测结果（</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8.2.1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43</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具备原材料自动检测系统，实现两种及以上原材料的自动检测并判定检测结果（</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8.2.1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44</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混凝土试件抗压强度智能检测系统</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四级控制项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具备混凝土试件抗压强度智能检测系统，实现混凝土试件制作、脱模、养护、试压处置等实验的智能化处理。实现单一流程智能化得</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46</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实现两种及以上流程智能化得</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8.3.2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47</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财务及报表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财务信息化</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信息化财务管理系统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一级控制项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具备财务管理系统，系统具备业务财务共同认可的数据标准，实现应收账款、应付账款等财务信息的在线查询和分析功能（</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9.1.1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48</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业务与财务融合</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业务与财务融合</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集成应用</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ERP</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系统和财务信息化系统等，形成从业务数据采集、业务数据集成、业务数据核算、财务收支的数据供应链（</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9.2.1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49</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前沿技术</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厂站数字孪生</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厂站数字孪生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建立数字孪生系统（</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DT</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），实现可数字化呈现厂站视频监控、关键状态指标与三维场景结合（</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10.2.4</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50</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其他</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其他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一般项</w:t>
            </w:r>
          </w:p>
        </w:tc>
        <w:tc>
          <w:tcPr>
            <w:tcW w:w="2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厂站通过人工智能、大数据等新一代信息技术，建立业务模型、商业智能等智能系统，辅助企业挖掘数据价值，打造数据驱动企业创新应用场景，为企业快速提供决策全链路的构建、管理及服务，助力企业发展（</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分）（见第</w:t>
            </w:r>
            <w:r>
              <w:rPr>
                <w:rStyle w:val="65"/>
                <w:rFonts w:hint="default" w:ascii="Times New Roman" w:hAnsi="Times New Roman" w:eastAsia="宋体" w:cs="Times New Roman"/>
                <w:color w:val="000000" w:themeColor="text1"/>
                <w:sz w:val="20"/>
                <w:szCs w:val="20"/>
                <w:highlight w:val="none"/>
                <w:lang w:val="en-US" w:eastAsia="zh-CN" w:bidi="ar"/>
                <w14:textFill>
                  <w14:solidFill>
                    <w14:schemeClr w14:val="tx1"/>
                  </w14:solidFill>
                </w14:textFill>
              </w:rPr>
              <w:t>10</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章）</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r>
    </w:tbl>
    <w:p>
      <w:pPr>
        <w:bidi w:val="0"/>
        <w:rPr>
          <w:rFonts w:hint="default"/>
          <w:color w:val="000000" w:themeColor="text1"/>
          <w:highlight w:val="none"/>
          <w:lang w:val="en-US" w:eastAsia="zh-CN"/>
          <w14:textFill>
            <w14:solidFill>
              <w14:schemeClr w14:val="tx1"/>
            </w14:solidFill>
          </w14:textFill>
        </w:rPr>
        <w:sectPr>
          <w:pgSz w:w="11900" w:h="16840"/>
          <w:pgMar w:top="1463" w:right="1264" w:bottom="1939" w:left="1729" w:header="1032" w:footer="850" w:gutter="0"/>
          <w:pgNumType w:fmt="decimal"/>
          <w:cols w:space="0" w:num="1"/>
          <w:rtlGutter w:val="0"/>
          <w:docGrid w:linePitch="360" w:charSpace="0"/>
        </w:sectPr>
      </w:pPr>
    </w:p>
    <w:bookmarkEnd w:id="100"/>
    <w:bookmarkEnd w:id="101"/>
    <w:p>
      <w:pPr>
        <w:rPr>
          <w:rFonts w:hint="default" w:ascii="Times New Roman" w:hAnsi="Times New Roman" w:cs="Times New Roman"/>
          <w:color w:val="000000" w:themeColor="text1"/>
          <w:highlight w:val="none"/>
          <w:lang w:val="en-US" w:eastAsia="zh-CN"/>
          <w14:textFill>
            <w14:solidFill>
              <w14:schemeClr w14:val="tx1"/>
            </w14:solidFill>
          </w14:textFill>
        </w:rPr>
      </w:pPr>
    </w:p>
    <w:p>
      <w:pP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pPr>
      <w:bookmarkStart w:id="103" w:name="_Toc59122516"/>
      <w:bookmarkStart w:id="104" w:name="_Toc59121551"/>
      <w:bookmarkStart w:id="105" w:name="_Toc17955"/>
      <w:bookmarkStart w:id="106" w:name="bookmark130"/>
      <w:bookmarkStart w:id="107" w:name="_Toc23682"/>
      <w:bookmarkStart w:id="108" w:name="bookmark133"/>
      <w:bookmarkStart w:id="109" w:name="bookmark131"/>
    </w:p>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pPr>
      <w:bookmarkStart w:id="110" w:name="_Toc15010"/>
      <w: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t>本导则用词说明</w:t>
      </w:r>
      <w:bookmarkEnd w:id="110"/>
    </w:p>
    <w:p>
      <w:pPr>
        <w:pStyle w:val="34"/>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1为便于在执行本导则条文时区别对待，对要求严格程度不同的用词说明如下：</w:t>
      </w:r>
    </w:p>
    <w:p>
      <w:pPr>
        <w:pStyle w:val="34"/>
        <w:tabs>
          <w:tab w:val="left" w:pos="368"/>
        </w:tabs>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bookmarkStart w:id="111" w:name="bookmark134"/>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1</w:t>
      </w:r>
      <w:bookmarkEnd w:id="111"/>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表示很严格，非这样做不可的用词：正面词采用</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“必</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须”反面词采用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严</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禁</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p>
    <w:p>
      <w:pPr>
        <w:pStyle w:val="34"/>
        <w:tabs>
          <w:tab w:val="left" w:pos="378"/>
        </w:tabs>
        <w:snapToGrid w:val="0"/>
        <w:spacing w:before="0" w:beforeAutospacing="0" w:after="0" w:afterAutospacing="0" w:line="478" w:lineRule="exact"/>
        <w:textAlignment w:val="baseline"/>
        <w:rPr>
          <w:rFonts w:hint="default" w:ascii="Times New Roman" w:hAnsi="Times New Roman" w:eastAsia="宋体" w:cs="Times New Roman"/>
          <w:b w:val="0"/>
          <w:i w:val="0"/>
          <w:caps w:val="0"/>
          <w:color w:val="000000" w:themeColor="text1"/>
          <w:spacing w:val="0"/>
          <w:w w:val="100"/>
          <w:sz w:val="20"/>
          <w:highlight w:val="none"/>
          <w:lang w:eastAsia="zh-CN"/>
          <w14:textFill>
            <w14:solidFill>
              <w14:schemeClr w14:val="tx1"/>
            </w14:solidFill>
          </w14:textFill>
        </w:rPr>
      </w:pPr>
      <w:bookmarkStart w:id="112" w:name="bookmark135"/>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2</w:t>
      </w:r>
      <w:bookmarkEnd w:id="112"/>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表示严格，在正常情况下均应这样做的用词：正面词采用</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“应</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”，反面词采用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不</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应</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或</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不得</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p>
    <w:p>
      <w:pPr>
        <w:pStyle w:val="34"/>
        <w:tabs>
          <w:tab w:val="left" w:pos="378"/>
        </w:tabs>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bookmarkStart w:id="113" w:name="bookmark136"/>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3</w:t>
      </w:r>
      <w:bookmarkEnd w:id="113"/>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表示允许稍有选择，在条件允许时首先应这样做的用词：正面词采用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宜</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，反面词采用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不宜</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p>
    <w:p>
      <w:pPr>
        <w:pStyle w:val="34"/>
        <w:tabs>
          <w:tab w:val="left" w:pos="382"/>
        </w:tabs>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pPr>
      <w:bookmarkStart w:id="114" w:name="bookmark137"/>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4</w:t>
      </w:r>
      <w:bookmarkEnd w:id="114"/>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ab/>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表示有选择，在一定条件下可以这样做的采用</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可</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p>
    <w:p>
      <w:pPr>
        <w:pStyle w:val="34"/>
        <w:snapToGrid w:val="0"/>
        <w:spacing w:before="0" w:beforeAutospacing="0" w:after="0" w:afterAutospacing="0" w:line="478" w:lineRule="exact"/>
        <w:textAlignment w:val="baseline"/>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sectPr>
          <w:pgSz w:w="11900" w:h="16840"/>
          <w:pgMar w:top="1463" w:right="1264" w:bottom="1939" w:left="1729" w:header="1032" w:footer="850" w:gutter="0"/>
          <w:pgNumType w:fmt="decimal"/>
          <w:cols w:space="0" w:num="1"/>
          <w:rtlGutter w:val="0"/>
          <w:docGrid w:linePitch="360" w:charSpace="0"/>
        </w:sectPr>
      </w:pP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2条文中必须按指定的标准、规范或其他有关规定执行的写法为</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应按</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……执行</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或</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lang w:val="zh-CN" w:eastAsia="zh-CN" w:bidi="zh-CN"/>
          <w14:textFill>
            <w14:solidFill>
              <w14:schemeClr w14:val="tx1"/>
            </w14:solidFill>
          </w14:textFill>
        </w:rPr>
        <w:t>应</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符合……规定</w:t>
      </w:r>
      <w:r>
        <w:rPr>
          <w:rFonts w:hint="default" w:ascii="Times New Roman" w:hAnsi="Times New Roman" w:cs="Times New Roman"/>
          <w:b w:val="0"/>
          <w:i w:val="0"/>
          <w:caps w:val="0"/>
          <w:color w:val="000000" w:themeColor="text1"/>
          <w:spacing w:val="0"/>
          <w:w w:val="100"/>
          <w:sz w:val="20"/>
          <w:highlight w:val="none"/>
          <w:lang w:eastAsia="zh-CN"/>
          <w14:textFill>
            <w14:solidFill>
              <w14:schemeClr w14:val="tx1"/>
            </w14:solidFill>
          </w14:textFill>
        </w:rPr>
        <w:t>”</w:t>
      </w:r>
      <w:r>
        <w:rPr>
          <w:rFonts w:hint="default" w:ascii="Times New Roman" w:hAnsi="Times New Roman" w:cs="Times New Roman"/>
          <w:b w:val="0"/>
          <w:i w:val="0"/>
          <w:caps w:val="0"/>
          <w:color w:val="000000" w:themeColor="text1"/>
          <w:spacing w:val="0"/>
          <w:w w:val="100"/>
          <w:sz w:val="20"/>
          <w:highlight w:val="none"/>
          <w14:textFill>
            <w14:solidFill>
              <w14:schemeClr w14:val="tx1"/>
            </w14:solidFill>
          </w14:textFill>
        </w:rPr>
        <w:t>。</w:t>
      </w:r>
    </w:p>
    <w:p>
      <w:pP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sectPr>
          <w:type w:val="continuous"/>
          <w:pgSz w:w="11900" w:h="16840"/>
          <w:pgMar w:top="1463" w:right="1264" w:bottom="1939" w:left="1729" w:header="1032" w:footer="850" w:gutter="0"/>
          <w:pgNumType w:fmt="decimal"/>
          <w:cols w:space="0" w:num="1"/>
          <w:rtlGutter w:val="0"/>
          <w:docGrid w:linePitch="360" w:charSpace="0"/>
        </w:sectPr>
      </w:pPr>
    </w:p>
    <w:bookmarkEnd w:id="103"/>
    <w:bookmarkEnd w:id="104"/>
    <w:bookmarkEnd w:id="105"/>
    <w:bookmarkEnd w:id="106"/>
    <w:bookmarkEnd w:id="107"/>
    <w:bookmarkEnd w:id="108"/>
    <w:bookmarkEnd w:id="109"/>
    <w:p>
      <w:pPr>
        <w:pStyle w:val="2"/>
        <w:snapToGrid w:val="0"/>
        <w:spacing w:before="340" w:beforeAutospacing="0" w:after="330" w:afterAutospacing="0" w:line="360" w:lineRule="auto"/>
        <w:jc w:val="center"/>
        <w:textAlignment w:val="baseline"/>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pPr>
      <w:bookmarkStart w:id="115" w:name="_Toc28485"/>
      <w:bookmarkStart w:id="116" w:name="bookmark139"/>
      <w:bookmarkStart w:id="117" w:name="bookmark140"/>
      <w:bookmarkStart w:id="118" w:name="_Toc59121552"/>
      <w:bookmarkStart w:id="119" w:name="_Toc20881"/>
      <w:bookmarkStart w:id="120" w:name="_Toc59122517"/>
      <w:bookmarkStart w:id="121" w:name="bookmark138"/>
      <w:bookmarkStart w:id="122" w:name="_Toc11180"/>
      <w:r>
        <w:rPr>
          <w:rFonts w:hint="default" w:ascii="Times New Roman" w:hAnsi="Times New Roman" w:cs="Times New Roman"/>
          <w:b w:val="0"/>
          <w:i w:val="0"/>
          <w:caps w:val="0"/>
          <w:color w:val="000000" w:themeColor="text1"/>
          <w:spacing w:val="0"/>
          <w:w w:val="100"/>
          <w:sz w:val="28"/>
          <w:szCs w:val="28"/>
          <w:highlight w:val="none"/>
          <w:lang w:val="zh-CN" w:bidi="zh-CN"/>
          <w14:textFill>
            <w14:solidFill>
              <w14:schemeClr w14:val="tx1"/>
            </w14:solidFill>
          </w14:textFill>
        </w:rPr>
        <w:t>引用标准名录</w:t>
      </w:r>
      <w:bookmarkEnd w:id="115"/>
      <w:bookmarkEnd w:id="116"/>
      <w:bookmarkEnd w:id="117"/>
      <w:bookmarkEnd w:id="118"/>
      <w:bookmarkEnd w:id="119"/>
      <w:bookmarkEnd w:id="120"/>
      <w:bookmarkEnd w:id="121"/>
      <w:bookmarkEnd w:id="122"/>
    </w:p>
    <w:p>
      <w:pPr>
        <w:widowControl/>
        <w:snapToGrid w:val="0"/>
        <w:spacing w:before="0" w:beforeAutospacing="0" w:after="0" w:afterAutospacing="0" w:line="360" w:lineRule="auto"/>
        <w:ind w:left="798"/>
        <w:textAlignment w:val="baseline"/>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t>《预拌混凝土智能</w:t>
      </w: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厂站</w:t>
      </w:r>
      <w:r>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t>评价要求》T/CBMF</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 xml:space="preserve"> </w:t>
      </w:r>
      <w:r>
        <w:rPr>
          <w:rFonts w:hint="default" w:ascii="Times New Roman" w:hAnsi="Times New Roman" w:eastAsia="宋体" w:cs="Times New Roman"/>
          <w:b w:val="0"/>
          <w:i w:val="0"/>
          <w:caps w:val="0"/>
          <w:color w:val="000000" w:themeColor="text1"/>
          <w:spacing w:val="0"/>
          <w:w w:val="100"/>
          <w:sz w:val="20"/>
          <w:szCs w:val="20"/>
          <w:highlight w:val="none"/>
          <w14:textFill>
            <w14:solidFill>
              <w14:schemeClr w14:val="tx1"/>
            </w14:solidFill>
          </w14:textFill>
        </w:rPr>
        <w:t>89—2020</w:t>
      </w:r>
    </w:p>
    <w:p>
      <w:pPr>
        <w:widowControl/>
        <w:snapToGrid w:val="0"/>
        <w:spacing w:before="0" w:beforeAutospacing="0" w:after="0" w:afterAutospacing="0" w:line="360" w:lineRule="auto"/>
        <w:ind w:left="798"/>
        <w:textAlignment w:val="baseline"/>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智能制造能力成熟度模型</w:t>
      </w: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GB/T39116-2020</w:t>
      </w:r>
    </w:p>
    <w:p>
      <w:pPr>
        <w:widowControl/>
        <w:snapToGrid w:val="0"/>
        <w:spacing w:before="0" w:beforeAutospacing="0" w:after="0" w:afterAutospacing="0" w:line="360" w:lineRule="auto"/>
        <w:ind w:left="798"/>
        <w:textAlignment w:val="baseline"/>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智能制造能力成熟度评估方法</w:t>
      </w:r>
      <w:r>
        <w:rPr>
          <w:rFonts w:hint="default" w:ascii="Times New Roman" w:hAnsi="Times New Roman" w:eastAsia="宋体" w:cs="Times New Roman"/>
          <w:b w:val="0"/>
          <w:i w:val="0"/>
          <w:caps w:val="0"/>
          <w:color w:val="000000" w:themeColor="text1"/>
          <w:spacing w:val="0"/>
          <w:w w:val="100"/>
          <w:sz w:val="20"/>
          <w:szCs w:val="20"/>
          <w:highlight w:val="none"/>
          <w:lang w:eastAsia="zh-CN"/>
          <w14:textFill>
            <w14:solidFill>
              <w14:schemeClr w14:val="tx1"/>
            </w14:solidFill>
          </w14:textFill>
        </w:rPr>
        <w:t>》</w:t>
      </w: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GB/T39117-2020</w:t>
      </w:r>
    </w:p>
    <w:p>
      <w:pPr>
        <w:widowControl/>
        <w:snapToGrid w:val="0"/>
        <w:spacing w:before="0" w:beforeAutospacing="0" w:after="0" w:afterAutospacing="0" w:line="360" w:lineRule="auto"/>
        <w:ind w:left="798"/>
        <w:textAlignment w:val="baseline"/>
        <w:rPr>
          <w:rFonts w:hint="default" w:ascii="Times New Roman" w:hAnsi="Times New Roman" w:cs="Times New Roman"/>
          <w:b w:val="0"/>
          <w:i w:val="0"/>
          <w:caps w:val="0"/>
          <w:color w:val="000000" w:themeColor="text1"/>
          <w:spacing w:val="0"/>
          <w:w w:val="100"/>
          <w:sz w:val="20"/>
          <w:szCs w:val="20"/>
          <w:highlight w:val="none"/>
          <w:lang w:val="en-US" w:eastAsia="zh-CN" w:bidi="zh-TW"/>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0"/>
          <w:szCs w:val="20"/>
          <w:highlight w:val="none"/>
          <w:lang w:val="en-US" w:eastAsia="zh-CN"/>
          <w14:textFill>
            <w14:solidFill>
              <w14:schemeClr w14:val="tx1"/>
            </w14:solidFill>
          </w14:textFill>
        </w:rPr>
        <w:t>《预拌混凝土标准化生产管理规程》DB42T1948-2023</w:t>
      </w:r>
    </w:p>
    <w:sectPr>
      <w:headerReference r:id="rId9" w:type="first"/>
      <w:footerReference r:id="rId11" w:type="first"/>
      <w:footerReference r:id="rId10" w:type="default"/>
      <w:pgSz w:w="11900" w:h="16840"/>
      <w:pgMar w:top="1463" w:right="1264" w:bottom="1939" w:left="1729" w:header="1032" w:footer="85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3714750</wp:posOffset>
              </wp:positionH>
              <wp:positionV relativeFrom="page">
                <wp:posOffset>10011410</wp:posOffset>
              </wp:positionV>
              <wp:extent cx="108585" cy="123825"/>
              <wp:effectExtent l="0" t="0" r="0" b="0"/>
              <wp:wrapNone/>
              <wp:docPr id="13" name="Shape 13"/>
              <wp:cNvGraphicFramePr/>
              <a:graphic xmlns:a="http://schemas.openxmlformats.org/drawingml/2006/main">
                <a:graphicData uri="http://schemas.microsoft.com/office/word/2010/wordprocessingShape">
                  <wps:wsp>
                    <wps:cNvSpPr txBox="1"/>
                    <wps:spPr>
                      <a:xfrm>
                        <a:off x="0" y="0"/>
                        <a:ext cx="108585" cy="123825"/>
                      </a:xfrm>
                      <a:prstGeom prst="rect">
                        <a:avLst/>
                      </a:prstGeom>
                      <a:noFill/>
                      <a:ln>
                        <a:noFill/>
                      </a:ln>
                      <a:effectLst/>
                    </wps:spPr>
                    <wps:txbx>
                      <w:txbxContent>
                        <w:p>
                          <w:pPr>
                            <w:pStyle w:val="44"/>
                            <w:rPr>
                              <w:rFonts w:hint="default" w:eastAsia="宋体"/>
                              <w:lang w:val="en-US" w:eastAsia="zh-CN"/>
                            </w:rPr>
                          </w:pPr>
                          <w:r>
                            <w:rPr>
                              <w:rFonts w:hint="eastAsia" w:eastAsia="宋体"/>
                              <w:lang w:val="en-US" w:eastAsia="zh-CN"/>
                            </w:rPr>
                            <w:t>34</w:t>
                          </w:r>
                        </w:p>
                      </w:txbxContent>
                    </wps:txbx>
                    <wps:bodyPr wrap="none" lIns="0" tIns="0" rIns="0" bIns="0">
                      <a:spAutoFit/>
                    </wps:bodyPr>
                  </wps:wsp>
                </a:graphicData>
              </a:graphic>
            </wp:anchor>
          </w:drawing>
        </mc:Choice>
        <mc:Fallback>
          <w:pict>
            <v:shape id="Shape 13" o:spid="_x0000_s1026" o:spt="202" type="#_x0000_t202" style="position:absolute;left:0pt;margin-left:292.5pt;margin-top:788.3pt;height:9.75pt;width:8.55pt;mso-position-horizontal-relative:page;mso-position-vertical-relative:page;mso-wrap-style:none;z-index:-251657216;mso-width-relative:page;mso-height-relative:page;" filled="f" stroked="f" coordsize="21600,21600" o:gfxdata="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L1vk9gAAAANAQAADwAAAAAAAAAB&#10;ACAAAAAiAAAAZHJzL2Rvd25yZXYueG1sUEsBAhQAFAAAAAgAh07iQFzOkPueAQAASQMAAA4AAAAA&#10;AAAAAQAgAAAAJwEAAGRycy9lMm9Eb2MueG1sUEsFBgAAAAAGAAYAWQEAADcFAAAAAA==&#10;">
              <v:fill on="f" focussize="0,0"/>
              <v:stroke on="f"/>
              <v:imagedata o:title=""/>
              <o:lock v:ext="edit" aspectratio="f"/>
              <v:textbox inset="0mm,0mm,0mm,0mm" style="mso-fit-shape-to-text:t;">
                <w:txbxContent>
                  <w:p>
                    <w:pPr>
                      <w:pStyle w:val="44"/>
                      <w:rPr>
                        <w:rFonts w:hint="default" w:eastAsia="宋体"/>
                        <w:lang w:val="en-US" w:eastAsia="zh-CN"/>
                      </w:rPr>
                    </w:pPr>
                    <w:r>
                      <w:rPr>
                        <w:rFonts w:hint="eastAsia" w:eastAsia="宋体"/>
                        <w:lang w:val="en-US" w:eastAsia="zh-CN"/>
                      </w:rPr>
                      <w:t>34</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MTMwYWI2MTlhOTQ2Njg3MTc1NjNjZTBhYjZmZGQifQ=="/>
    <w:docVar w:name="KSO_WPS_MARK_KEY" w:val="56be3e20-4fa3-4a5f-8ab2-9af654f0074e"/>
  </w:docVars>
  <w:rsids>
    <w:rsidRoot w:val="00EF4A0D"/>
    <w:rsid w:val="00006378"/>
    <w:rsid w:val="000073CB"/>
    <w:rsid w:val="0002117A"/>
    <w:rsid w:val="00025A68"/>
    <w:rsid w:val="00025EFB"/>
    <w:rsid w:val="00026EFE"/>
    <w:rsid w:val="0003710A"/>
    <w:rsid w:val="000422BE"/>
    <w:rsid w:val="00043CB2"/>
    <w:rsid w:val="000444FD"/>
    <w:rsid w:val="000511C4"/>
    <w:rsid w:val="00055C0E"/>
    <w:rsid w:val="000779E5"/>
    <w:rsid w:val="000953CC"/>
    <w:rsid w:val="000C1076"/>
    <w:rsid w:val="000D35CE"/>
    <w:rsid w:val="000D36D8"/>
    <w:rsid w:val="000E777E"/>
    <w:rsid w:val="001373D7"/>
    <w:rsid w:val="001433B9"/>
    <w:rsid w:val="00144330"/>
    <w:rsid w:val="00160EDC"/>
    <w:rsid w:val="00164981"/>
    <w:rsid w:val="001669D4"/>
    <w:rsid w:val="00166F0A"/>
    <w:rsid w:val="00170E2E"/>
    <w:rsid w:val="00171390"/>
    <w:rsid w:val="00195F05"/>
    <w:rsid w:val="001A1273"/>
    <w:rsid w:val="001A36B4"/>
    <w:rsid w:val="001B55D5"/>
    <w:rsid w:val="001C2902"/>
    <w:rsid w:val="001C3308"/>
    <w:rsid w:val="001D0555"/>
    <w:rsid w:val="001D4E73"/>
    <w:rsid w:val="001D6D71"/>
    <w:rsid w:val="001E5800"/>
    <w:rsid w:val="001E68E1"/>
    <w:rsid w:val="001E7340"/>
    <w:rsid w:val="001F422C"/>
    <w:rsid w:val="00262944"/>
    <w:rsid w:val="00263887"/>
    <w:rsid w:val="00290CE1"/>
    <w:rsid w:val="002B2661"/>
    <w:rsid w:val="002C1706"/>
    <w:rsid w:val="002D270F"/>
    <w:rsid w:val="002D66E5"/>
    <w:rsid w:val="002E794E"/>
    <w:rsid w:val="002F0514"/>
    <w:rsid w:val="002F0FD1"/>
    <w:rsid w:val="00302B62"/>
    <w:rsid w:val="00316CC7"/>
    <w:rsid w:val="00324423"/>
    <w:rsid w:val="00330891"/>
    <w:rsid w:val="00340558"/>
    <w:rsid w:val="00347FCF"/>
    <w:rsid w:val="003524F7"/>
    <w:rsid w:val="00352583"/>
    <w:rsid w:val="003562D8"/>
    <w:rsid w:val="00357F8E"/>
    <w:rsid w:val="00367A7B"/>
    <w:rsid w:val="00370543"/>
    <w:rsid w:val="003777EC"/>
    <w:rsid w:val="00382E0E"/>
    <w:rsid w:val="003A4FA9"/>
    <w:rsid w:val="003B6196"/>
    <w:rsid w:val="003C1051"/>
    <w:rsid w:val="003D0BFC"/>
    <w:rsid w:val="003D2C8A"/>
    <w:rsid w:val="003F0B20"/>
    <w:rsid w:val="003F54C8"/>
    <w:rsid w:val="003F6C79"/>
    <w:rsid w:val="00400079"/>
    <w:rsid w:val="00410037"/>
    <w:rsid w:val="004165E8"/>
    <w:rsid w:val="00423F04"/>
    <w:rsid w:val="00425CE1"/>
    <w:rsid w:val="00431A6C"/>
    <w:rsid w:val="00434FF1"/>
    <w:rsid w:val="00442991"/>
    <w:rsid w:val="00444F3A"/>
    <w:rsid w:val="00466DDF"/>
    <w:rsid w:val="00467093"/>
    <w:rsid w:val="00467BB2"/>
    <w:rsid w:val="00473886"/>
    <w:rsid w:val="004842DD"/>
    <w:rsid w:val="004A2124"/>
    <w:rsid w:val="004A43ED"/>
    <w:rsid w:val="004B63E7"/>
    <w:rsid w:val="004D27B0"/>
    <w:rsid w:val="004E468A"/>
    <w:rsid w:val="004E58C9"/>
    <w:rsid w:val="004F002F"/>
    <w:rsid w:val="00527023"/>
    <w:rsid w:val="00533408"/>
    <w:rsid w:val="005443F1"/>
    <w:rsid w:val="005522F8"/>
    <w:rsid w:val="00553EFE"/>
    <w:rsid w:val="0055594A"/>
    <w:rsid w:val="00580C2D"/>
    <w:rsid w:val="005A44B8"/>
    <w:rsid w:val="005A7B88"/>
    <w:rsid w:val="005C7408"/>
    <w:rsid w:val="005D106E"/>
    <w:rsid w:val="005D1563"/>
    <w:rsid w:val="005D1D84"/>
    <w:rsid w:val="005D3354"/>
    <w:rsid w:val="005F0325"/>
    <w:rsid w:val="005F4369"/>
    <w:rsid w:val="0060591B"/>
    <w:rsid w:val="0061675E"/>
    <w:rsid w:val="00621C04"/>
    <w:rsid w:val="00623686"/>
    <w:rsid w:val="006334A2"/>
    <w:rsid w:val="00634A1B"/>
    <w:rsid w:val="00656B53"/>
    <w:rsid w:val="0066118E"/>
    <w:rsid w:val="0066528A"/>
    <w:rsid w:val="006838D9"/>
    <w:rsid w:val="00686526"/>
    <w:rsid w:val="00690853"/>
    <w:rsid w:val="00694715"/>
    <w:rsid w:val="006954CF"/>
    <w:rsid w:val="006A3DD1"/>
    <w:rsid w:val="006A4BD1"/>
    <w:rsid w:val="006B523A"/>
    <w:rsid w:val="006D1405"/>
    <w:rsid w:val="006D2C3E"/>
    <w:rsid w:val="006E063D"/>
    <w:rsid w:val="006E6D95"/>
    <w:rsid w:val="00705A1D"/>
    <w:rsid w:val="00714D72"/>
    <w:rsid w:val="00715428"/>
    <w:rsid w:val="0072699D"/>
    <w:rsid w:val="00733B3B"/>
    <w:rsid w:val="00734A59"/>
    <w:rsid w:val="00737EDA"/>
    <w:rsid w:val="00740A1E"/>
    <w:rsid w:val="007554E9"/>
    <w:rsid w:val="00763535"/>
    <w:rsid w:val="00767DC8"/>
    <w:rsid w:val="00772DC6"/>
    <w:rsid w:val="0078136E"/>
    <w:rsid w:val="007825C4"/>
    <w:rsid w:val="00787287"/>
    <w:rsid w:val="007B40E7"/>
    <w:rsid w:val="007C12FC"/>
    <w:rsid w:val="007C1C39"/>
    <w:rsid w:val="007C2BC5"/>
    <w:rsid w:val="007D474D"/>
    <w:rsid w:val="007F04C2"/>
    <w:rsid w:val="007F6D6D"/>
    <w:rsid w:val="00800822"/>
    <w:rsid w:val="00813963"/>
    <w:rsid w:val="00822898"/>
    <w:rsid w:val="0083329E"/>
    <w:rsid w:val="0083367A"/>
    <w:rsid w:val="00834B04"/>
    <w:rsid w:val="00835C7D"/>
    <w:rsid w:val="00846341"/>
    <w:rsid w:val="008477FB"/>
    <w:rsid w:val="0086576C"/>
    <w:rsid w:val="008966F2"/>
    <w:rsid w:val="008A5AE7"/>
    <w:rsid w:val="008A6BE7"/>
    <w:rsid w:val="008C4EC5"/>
    <w:rsid w:val="008C771A"/>
    <w:rsid w:val="008E2855"/>
    <w:rsid w:val="009065BE"/>
    <w:rsid w:val="00910497"/>
    <w:rsid w:val="00915596"/>
    <w:rsid w:val="009165C6"/>
    <w:rsid w:val="0091683F"/>
    <w:rsid w:val="00916876"/>
    <w:rsid w:val="0092019F"/>
    <w:rsid w:val="00942F0C"/>
    <w:rsid w:val="0094310C"/>
    <w:rsid w:val="0095083F"/>
    <w:rsid w:val="00953AB0"/>
    <w:rsid w:val="009557A6"/>
    <w:rsid w:val="00960681"/>
    <w:rsid w:val="00972FBA"/>
    <w:rsid w:val="009970FB"/>
    <w:rsid w:val="009A0C15"/>
    <w:rsid w:val="009A1B82"/>
    <w:rsid w:val="009A46F1"/>
    <w:rsid w:val="009B1A4A"/>
    <w:rsid w:val="009B4C11"/>
    <w:rsid w:val="009B601E"/>
    <w:rsid w:val="009C2621"/>
    <w:rsid w:val="009C2FF0"/>
    <w:rsid w:val="009D08D7"/>
    <w:rsid w:val="009E3BED"/>
    <w:rsid w:val="009F097A"/>
    <w:rsid w:val="00A1084B"/>
    <w:rsid w:val="00A24AB4"/>
    <w:rsid w:val="00A2756A"/>
    <w:rsid w:val="00A318CE"/>
    <w:rsid w:val="00A3295D"/>
    <w:rsid w:val="00A45345"/>
    <w:rsid w:val="00A5369D"/>
    <w:rsid w:val="00A65A36"/>
    <w:rsid w:val="00A7136B"/>
    <w:rsid w:val="00A87635"/>
    <w:rsid w:val="00A942A8"/>
    <w:rsid w:val="00AB6AA3"/>
    <w:rsid w:val="00AF048D"/>
    <w:rsid w:val="00AF0AE6"/>
    <w:rsid w:val="00B01EFD"/>
    <w:rsid w:val="00B164C4"/>
    <w:rsid w:val="00B17788"/>
    <w:rsid w:val="00B231CE"/>
    <w:rsid w:val="00B27C02"/>
    <w:rsid w:val="00B317A7"/>
    <w:rsid w:val="00B42EA6"/>
    <w:rsid w:val="00B462DC"/>
    <w:rsid w:val="00B46C8F"/>
    <w:rsid w:val="00B6002A"/>
    <w:rsid w:val="00B710CD"/>
    <w:rsid w:val="00B74D1A"/>
    <w:rsid w:val="00B86683"/>
    <w:rsid w:val="00B920B5"/>
    <w:rsid w:val="00B93793"/>
    <w:rsid w:val="00BA661B"/>
    <w:rsid w:val="00BB1834"/>
    <w:rsid w:val="00BB1AE0"/>
    <w:rsid w:val="00BB6985"/>
    <w:rsid w:val="00BB6DC3"/>
    <w:rsid w:val="00BC193E"/>
    <w:rsid w:val="00BC59CE"/>
    <w:rsid w:val="00BD3D2F"/>
    <w:rsid w:val="00BE2224"/>
    <w:rsid w:val="00BE46DB"/>
    <w:rsid w:val="00BF01C0"/>
    <w:rsid w:val="00BF7BA5"/>
    <w:rsid w:val="00C01328"/>
    <w:rsid w:val="00C1120D"/>
    <w:rsid w:val="00C17AB9"/>
    <w:rsid w:val="00C214A2"/>
    <w:rsid w:val="00C33ECE"/>
    <w:rsid w:val="00C429A8"/>
    <w:rsid w:val="00C50EB4"/>
    <w:rsid w:val="00C53296"/>
    <w:rsid w:val="00C56D8F"/>
    <w:rsid w:val="00C64CC1"/>
    <w:rsid w:val="00C727A1"/>
    <w:rsid w:val="00C745C5"/>
    <w:rsid w:val="00C74AB7"/>
    <w:rsid w:val="00C76DFC"/>
    <w:rsid w:val="00C871B1"/>
    <w:rsid w:val="00C962AF"/>
    <w:rsid w:val="00CA4F01"/>
    <w:rsid w:val="00CB18EB"/>
    <w:rsid w:val="00CD11FC"/>
    <w:rsid w:val="00CE17F7"/>
    <w:rsid w:val="00D01278"/>
    <w:rsid w:val="00D04069"/>
    <w:rsid w:val="00D10E22"/>
    <w:rsid w:val="00D154CB"/>
    <w:rsid w:val="00D22691"/>
    <w:rsid w:val="00D24E9B"/>
    <w:rsid w:val="00D31F35"/>
    <w:rsid w:val="00D36D43"/>
    <w:rsid w:val="00D42E67"/>
    <w:rsid w:val="00D55926"/>
    <w:rsid w:val="00D57AD4"/>
    <w:rsid w:val="00D66907"/>
    <w:rsid w:val="00D76FC3"/>
    <w:rsid w:val="00D96E5A"/>
    <w:rsid w:val="00DB2CD1"/>
    <w:rsid w:val="00DC1316"/>
    <w:rsid w:val="00DF6DA4"/>
    <w:rsid w:val="00E0405D"/>
    <w:rsid w:val="00E15DD1"/>
    <w:rsid w:val="00E2329C"/>
    <w:rsid w:val="00E27A05"/>
    <w:rsid w:val="00E469D2"/>
    <w:rsid w:val="00E53D69"/>
    <w:rsid w:val="00E5581D"/>
    <w:rsid w:val="00E613F7"/>
    <w:rsid w:val="00E615E3"/>
    <w:rsid w:val="00E654E9"/>
    <w:rsid w:val="00E6600F"/>
    <w:rsid w:val="00E71FA2"/>
    <w:rsid w:val="00E72149"/>
    <w:rsid w:val="00EB1BA0"/>
    <w:rsid w:val="00EB2879"/>
    <w:rsid w:val="00EB43A6"/>
    <w:rsid w:val="00ED386D"/>
    <w:rsid w:val="00EE2D2F"/>
    <w:rsid w:val="00EF4A0D"/>
    <w:rsid w:val="00F15D80"/>
    <w:rsid w:val="00F30FFA"/>
    <w:rsid w:val="00F34350"/>
    <w:rsid w:val="00F35564"/>
    <w:rsid w:val="00F45659"/>
    <w:rsid w:val="00F54200"/>
    <w:rsid w:val="00F72E93"/>
    <w:rsid w:val="00F779D9"/>
    <w:rsid w:val="00F77CA1"/>
    <w:rsid w:val="00F86693"/>
    <w:rsid w:val="00F93377"/>
    <w:rsid w:val="00F944F2"/>
    <w:rsid w:val="00FA4E03"/>
    <w:rsid w:val="00FC4F5F"/>
    <w:rsid w:val="00FC709B"/>
    <w:rsid w:val="00FE237C"/>
    <w:rsid w:val="00FE3464"/>
    <w:rsid w:val="00FE4AE3"/>
    <w:rsid w:val="00FE5320"/>
    <w:rsid w:val="00FF4C10"/>
    <w:rsid w:val="01176BD1"/>
    <w:rsid w:val="01372215"/>
    <w:rsid w:val="0159126E"/>
    <w:rsid w:val="018906E9"/>
    <w:rsid w:val="019C4BC9"/>
    <w:rsid w:val="01C81E93"/>
    <w:rsid w:val="01D54D98"/>
    <w:rsid w:val="01E73C46"/>
    <w:rsid w:val="0220586E"/>
    <w:rsid w:val="02205A33"/>
    <w:rsid w:val="023A4BFB"/>
    <w:rsid w:val="028642E4"/>
    <w:rsid w:val="02CD25C4"/>
    <w:rsid w:val="034321D6"/>
    <w:rsid w:val="03577A2F"/>
    <w:rsid w:val="036D2DAF"/>
    <w:rsid w:val="03785A7D"/>
    <w:rsid w:val="03BB6FA7"/>
    <w:rsid w:val="04813831"/>
    <w:rsid w:val="0481545A"/>
    <w:rsid w:val="04CD57FE"/>
    <w:rsid w:val="04D03D7C"/>
    <w:rsid w:val="04DC01EC"/>
    <w:rsid w:val="05002B79"/>
    <w:rsid w:val="055B06EB"/>
    <w:rsid w:val="058524DA"/>
    <w:rsid w:val="058F42A0"/>
    <w:rsid w:val="05A20A52"/>
    <w:rsid w:val="05A87F66"/>
    <w:rsid w:val="05FF3859"/>
    <w:rsid w:val="06226CC6"/>
    <w:rsid w:val="067032E2"/>
    <w:rsid w:val="06A905A2"/>
    <w:rsid w:val="06E91363"/>
    <w:rsid w:val="070C28DE"/>
    <w:rsid w:val="071D4AEC"/>
    <w:rsid w:val="079317CC"/>
    <w:rsid w:val="07ED0962"/>
    <w:rsid w:val="08795924"/>
    <w:rsid w:val="08803584"/>
    <w:rsid w:val="0887693F"/>
    <w:rsid w:val="08B1198F"/>
    <w:rsid w:val="08C276F9"/>
    <w:rsid w:val="093F343F"/>
    <w:rsid w:val="09491BC8"/>
    <w:rsid w:val="096A04BC"/>
    <w:rsid w:val="096B7D90"/>
    <w:rsid w:val="0971437F"/>
    <w:rsid w:val="09C1240A"/>
    <w:rsid w:val="09CF47C3"/>
    <w:rsid w:val="09EC3483"/>
    <w:rsid w:val="09EF09C1"/>
    <w:rsid w:val="0A037FC9"/>
    <w:rsid w:val="0A1E117A"/>
    <w:rsid w:val="0A207E53"/>
    <w:rsid w:val="0A211533"/>
    <w:rsid w:val="0A24530E"/>
    <w:rsid w:val="0A256191"/>
    <w:rsid w:val="0A3D48EC"/>
    <w:rsid w:val="0A4C1970"/>
    <w:rsid w:val="0A782765"/>
    <w:rsid w:val="0A7E6952"/>
    <w:rsid w:val="0A852B6F"/>
    <w:rsid w:val="0A8F7AAE"/>
    <w:rsid w:val="0AA23C86"/>
    <w:rsid w:val="0AAF1EFF"/>
    <w:rsid w:val="0ABC322B"/>
    <w:rsid w:val="0ACC60A0"/>
    <w:rsid w:val="0AEA2F37"/>
    <w:rsid w:val="0AF344E1"/>
    <w:rsid w:val="0B057D70"/>
    <w:rsid w:val="0B2115A5"/>
    <w:rsid w:val="0B5036E2"/>
    <w:rsid w:val="0B56493F"/>
    <w:rsid w:val="0B6B251D"/>
    <w:rsid w:val="0B914102"/>
    <w:rsid w:val="0BC63A93"/>
    <w:rsid w:val="0C14470F"/>
    <w:rsid w:val="0C404E84"/>
    <w:rsid w:val="0C803B53"/>
    <w:rsid w:val="0CCB0EB2"/>
    <w:rsid w:val="0D0455D9"/>
    <w:rsid w:val="0D297981"/>
    <w:rsid w:val="0D493FDD"/>
    <w:rsid w:val="0D51204E"/>
    <w:rsid w:val="0D8B6C53"/>
    <w:rsid w:val="0D9C2311"/>
    <w:rsid w:val="0DFB69A9"/>
    <w:rsid w:val="0E032077"/>
    <w:rsid w:val="0E0C2369"/>
    <w:rsid w:val="0E1E1875"/>
    <w:rsid w:val="0E2E4584"/>
    <w:rsid w:val="0E5309E9"/>
    <w:rsid w:val="0E7F55DC"/>
    <w:rsid w:val="0ECB1AC7"/>
    <w:rsid w:val="0F113188"/>
    <w:rsid w:val="0F130CAE"/>
    <w:rsid w:val="0F146C5F"/>
    <w:rsid w:val="0F342AFE"/>
    <w:rsid w:val="0F3F5FF6"/>
    <w:rsid w:val="0F5337A0"/>
    <w:rsid w:val="0F53554E"/>
    <w:rsid w:val="0F655282"/>
    <w:rsid w:val="0F96368D"/>
    <w:rsid w:val="0FBC7598"/>
    <w:rsid w:val="0FCE72CB"/>
    <w:rsid w:val="0FDE2F13"/>
    <w:rsid w:val="102B2962"/>
    <w:rsid w:val="1031606C"/>
    <w:rsid w:val="104E486C"/>
    <w:rsid w:val="10524E07"/>
    <w:rsid w:val="10645E0D"/>
    <w:rsid w:val="10953945"/>
    <w:rsid w:val="10992A51"/>
    <w:rsid w:val="10F77273"/>
    <w:rsid w:val="11292A0B"/>
    <w:rsid w:val="117505E8"/>
    <w:rsid w:val="117855F0"/>
    <w:rsid w:val="11A16A45"/>
    <w:rsid w:val="11BD35D1"/>
    <w:rsid w:val="12127ADE"/>
    <w:rsid w:val="127203E1"/>
    <w:rsid w:val="12DE15D3"/>
    <w:rsid w:val="13313005"/>
    <w:rsid w:val="1340403C"/>
    <w:rsid w:val="13516249"/>
    <w:rsid w:val="136318DF"/>
    <w:rsid w:val="138A3509"/>
    <w:rsid w:val="13F217DA"/>
    <w:rsid w:val="13F275AD"/>
    <w:rsid w:val="13FC535B"/>
    <w:rsid w:val="142179C9"/>
    <w:rsid w:val="142A55DE"/>
    <w:rsid w:val="143F00BE"/>
    <w:rsid w:val="144F4876"/>
    <w:rsid w:val="14540DDB"/>
    <w:rsid w:val="145F04F1"/>
    <w:rsid w:val="14643827"/>
    <w:rsid w:val="149B4BD7"/>
    <w:rsid w:val="14E2187F"/>
    <w:rsid w:val="15195026"/>
    <w:rsid w:val="154047C7"/>
    <w:rsid w:val="154871D8"/>
    <w:rsid w:val="157F3975"/>
    <w:rsid w:val="15861A34"/>
    <w:rsid w:val="159352D7"/>
    <w:rsid w:val="15B43B06"/>
    <w:rsid w:val="15C44483"/>
    <w:rsid w:val="15C72899"/>
    <w:rsid w:val="15E92769"/>
    <w:rsid w:val="160C3C6F"/>
    <w:rsid w:val="16105472"/>
    <w:rsid w:val="161755C9"/>
    <w:rsid w:val="164107F7"/>
    <w:rsid w:val="164C4E8A"/>
    <w:rsid w:val="167E4735"/>
    <w:rsid w:val="1686445B"/>
    <w:rsid w:val="16A95791"/>
    <w:rsid w:val="16D056D6"/>
    <w:rsid w:val="16E41182"/>
    <w:rsid w:val="171224C1"/>
    <w:rsid w:val="17174E4F"/>
    <w:rsid w:val="17244D13"/>
    <w:rsid w:val="172A6749"/>
    <w:rsid w:val="172B5F11"/>
    <w:rsid w:val="174E6F4B"/>
    <w:rsid w:val="17537A20"/>
    <w:rsid w:val="17AD5FEA"/>
    <w:rsid w:val="17BD3EAD"/>
    <w:rsid w:val="17C0399D"/>
    <w:rsid w:val="17CA7ABA"/>
    <w:rsid w:val="17E9310E"/>
    <w:rsid w:val="17EF7DDE"/>
    <w:rsid w:val="180715CC"/>
    <w:rsid w:val="18167A61"/>
    <w:rsid w:val="18381785"/>
    <w:rsid w:val="183A374F"/>
    <w:rsid w:val="18637B38"/>
    <w:rsid w:val="187907B9"/>
    <w:rsid w:val="18CD0746"/>
    <w:rsid w:val="18E90CD1"/>
    <w:rsid w:val="18EA32F7"/>
    <w:rsid w:val="19197809"/>
    <w:rsid w:val="191A69C6"/>
    <w:rsid w:val="19225C54"/>
    <w:rsid w:val="19530DED"/>
    <w:rsid w:val="1963550C"/>
    <w:rsid w:val="196B16E7"/>
    <w:rsid w:val="1971007E"/>
    <w:rsid w:val="19A3235A"/>
    <w:rsid w:val="19AB0116"/>
    <w:rsid w:val="19B44CC3"/>
    <w:rsid w:val="19E31EED"/>
    <w:rsid w:val="1A337381"/>
    <w:rsid w:val="1A410D40"/>
    <w:rsid w:val="1A683FD2"/>
    <w:rsid w:val="1A771617"/>
    <w:rsid w:val="1A9F789A"/>
    <w:rsid w:val="1AB94882"/>
    <w:rsid w:val="1AE9320B"/>
    <w:rsid w:val="1AF31ACB"/>
    <w:rsid w:val="1B1F09DB"/>
    <w:rsid w:val="1B4768B2"/>
    <w:rsid w:val="1B792B9E"/>
    <w:rsid w:val="1B866CAC"/>
    <w:rsid w:val="1BC03F6C"/>
    <w:rsid w:val="1BDE414C"/>
    <w:rsid w:val="1BE22134"/>
    <w:rsid w:val="1C1C4F1A"/>
    <w:rsid w:val="1C7E2CF4"/>
    <w:rsid w:val="1CD06430"/>
    <w:rsid w:val="1D1421F8"/>
    <w:rsid w:val="1D1F1166"/>
    <w:rsid w:val="1D4C5E7C"/>
    <w:rsid w:val="1D6D41EF"/>
    <w:rsid w:val="1D7414B2"/>
    <w:rsid w:val="1D90796E"/>
    <w:rsid w:val="1D9C5AD5"/>
    <w:rsid w:val="1E0A3BC4"/>
    <w:rsid w:val="1E171E3D"/>
    <w:rsid w:val="1E875215"/>
    <w:rsid w:val="1E973172"/>
    <w:rsid w:val="1E995D52"/>
    <w:rsid w:val="1E9D7CFE"/>
    <w:rsid w:val="1EB54A5A"/>
    <w:rsid w:val="1EEB7551"/>
    <w:rsid w:val="1EF87EC0"/>
    <w:rsid w:val="1EFF7485"/>
    <w:rsid w:val="1F2905BE"/>
    <w:rsid w:val="1F481C4B"/>
    <w:rsid w:val="1FA140B4"/>
    <w:rsid w:val="1FD40D0E"/>
    <w:rsid w:val="1FD46237"/>
    <w:rsid w:val="1FD55B0C"/>
    <w:rsid w:val="200C1D97"/>
    <w:rsid w:val="207672EF"/>
    <w:rsid w:val="207A7375"/>
    <w:rsid w:val="20BD1F16"/>
    <w:rsid w:val="21187AA6"/>
    <w:rsid w:val="213A47C0"/>
    <w:rsid w:val="21423675"/>
    <w:rsid w:val="21761527"/>
    <w:rsid w:val="21A954A2"/>
    <w:rsid w:val="21C1113B"/>
    <w:rsid w:val="21D25E3F"/>
    <w:rsid w:val="21E728C2"/>
    <w:rsid w:val="220C2760"/>
    <w:rsid w:val="22525B39"/>
    <w:rsid w:val="225418B2"/>
    <w:rsid w:val="22A16179"/>
    <w:rsid w:val="22F020D2"/>
    <w:rsid w:val="23007343"/>
    <w:rsid w:val="230961F8"/>
    <w:rsid w:val="23560257"/>
    <w:rsid w:val="23582CDC"/>
    <w:rsid w:val="239C706C"/>
    <w:rsid w:val="23A56ADD"/>
    <w:rsid w:val="24045789"/>
    <w:rsid w:val="24267F38"/>
    <w:rsid w:val="24362088"/>
    <w:rsid w:val="245B0CD5"/>
    <w:rsid w:val="24AE425F"/>
    <w:rsid w:val="24C849DD"/>
    <w:rsid w:val="24D64800"/>
    <w:rsid w:val="24DB1E16"/>
    <w:rsid w:val="25457290"/>
    <w:rsid w:val="256B319A"/>
    <w:rsid w:val="25911BD2"/>
    <w:rsid w:val="259B3C78"/>
    <w:rsid w:val="25AB17E9"/>
    <w:rsid w:val="25C12DBA"/>
    <w:rsid w:val="25F807A6"/>
    <w:rsid w:val="25F933CE"/>
    <w:rsid w:val="262E41C8"/>
    <w:rsid w:val="26307F40"/>
    <w:rsid w:val="26334141"/>
    <w:rsid w:val="26964247"/>
    <w:rsid w:val="27210655"/>
    <w:rsid w:val="27304943"/>
    <w:rsid w:val="275C6092"/>
    <w:rsid w:val="277125BE"/>
    <w:rsid w:val="277B168E"/>
    <w:rsid w:val="277D71B5"/>
    <w:rsid w:val="277F117F"/>
    <w:rsid w:val="278620DB"/>
    <w:rsid w:val="27873B8F"/>
    <w:rsid w:val="278A3680"/>
    <w:rsid w:val="27994E67"/>
    <w:rsid w:val="279C3FA0"/>
    <w:rsid w:val="27A04C51"/>
    <w:rsid w:val="27F60D15"/>
    <w:rsid w:val="27F6425C"/>
    <w:rsid w:val="28277120"/>
    <w:rsid w:val="2829433D"/>
    <w:rsid w:val="28595C3D"/>
    <w:rsid w:val="28646467"/>
    <w:rsid w:val="28A6098D"/>
    <w:rsid w:val="28B323B7"/>
    <w:rsid w:val="28D728F5"/>
    <w:rsid w:val="28ED5968"/>
    <w:rsid w:val="28F9286B"/>
    <w:rsid w:val="294507A6"/>
    <w:rsid w:val="29497D0C"/>
    <w:rsid w:val="295A37A7"/>
    <w:rsid w:val="299F1664"/>
    <w:rsid w:val="29CE1172"/>
    <w:rsid w:val="29ED6C5C"/>
    <w:rsid w:val="29F438F3"/>
    <w:rsid w:val="29FB2613"/>
    <w:rsid w:val="2A022C16"/>
    <w:rsid w:val="2A292D24"/>
    <w:rsid w:val="2A7E2E76"/>
    <w:rsid w:val="2A845ACE"/>
    <w:rsid w:val="2A9F0A77"/>
    <w:rsid w:val="2AC33130"/>
    <w:rsid w:val="2AE15CAC"/>
    <w:rsid w:val="2B435608"/>
    <w:rsid w:val="2B533A68"/>
    <w:rsid w:val="2B58259A"/>
    <w:rsid w:val="2B6E0157"/>
    <w:rsid w:val="2B7B7EAF"/>
    <w:rsid w:val="2B8A1EA0"/>
    <w:rsid w:val="2BB37649"/>
    <w:rsid w:val="2BBA5C02"/>
    <w:rsid w:val="2BC453B2"/>
    <w:rsid w:val="2BF0264B"/>
    <w:rsid w:val="2C444593"/>
    <w:rsid w:val="2C4D184B"/>
    <w:rsid w:val="2C7652DE"/>
    <w:rsid w:val="2CBC252D"/>
    <w:rsid w:val="2CC06F3C"/>
    <w:rsid w:val="2CC9010B"/>
    <w:rsid w:val="2CD508DF"/>
    <w:rsid w:val="2CED6B8B"/>
    <w:rsid w:val="2CF9108B"/>
    <w:rsid w:val="2D2135EE"/>
    <w:rsid w:val="2D375B0B"/>
    <w:rsid w:val="2D412D51"/>
    <w:rsid w:val="2D471203"/>
    <w:rsid w:val="2D602616"/>
    <w:rsid w:val="2D807AA5"/>
    <w:rsid w:val="2D824816"/>
    <w:rsid w:val="2DA77776"/>
    <w:rsid w:val="2DAB1A1C"/>
    <w:rsid w:val="2DBA5991"/>
    <w:rsid w:val="2DC526CA"/>
    <w:rsid w:val="2DD525F9"/>
    <w:rsid w:val="2DE6448B"/>
    <w:rsid w:val="2DE75388"/>
    <w:rsid w:val="2DFB505B"/>
    <w:rsid w:val="2E960AD5"/>
    <w:rsid w:val="2EAA2BD9"/>
    <w:rsid w:val="2EE43FBD"/>
    <w:rsid w:val="2EF76990"/>
    <w:rsid w:val="2F2B1BEC"/>
    <w:rsid w:val="2F3A418C"/>
    <w:rsid w:val="2F4131BE"/>
    <w:rsid w:val="2F414FFA"/>
    <w:rsid w:val="2F510874"/>
    <w:rsid w:val="2FA151A2"/>
    <w:rsid w:val="2FD421D4"/>
    <w:rsid w:val="2FD47B8E"/>
    <w:rsid w:val="2FF13B88"/>
    <w:rsid w:val="2FF3270A"/>
    <w:rsid w:val="30051D09"/>
    <w:rsid w:val="30234671"/>
    <w:rsid w:val="307570D7"/>
    <w:rsid w:val="309D61D2"/>
    <w:rsid w:val="30CB1613"/>
    <w:rsid w:val="30E654E7"/>
    <w:rsid w:val="30F73B34"/>
    <w:rsid w:val="310C0065"/>
    <w:rsid w:val="310E4074"/>
    <w:rsid w:val="311244B1"/>
    <w:rsid w:val="311B2750"/>
    <w:rsid w:val="311E5564"/>
    <w:rsid w:val="312D64CC"/>
    <w:rsid w:val="3138502F"/>
    <w:rsid w:val="31434FCB"/>
    <w:rsid w:val="31505F30"/>
    <w:rsid w:val="315C0D57"/>
    <w:rsid w:val="31BC09FD"/>
    <w:rsid w:val="31D25773"/>
    <w:rsid w:val="31DE2F46"/>
    <w:rsid w:val="32741B8D"/>
    <w:rsid w:val="32B819E9"/>
    <w:rsid w:val="32BD226F"/>
    <w:rsid w:val="32E37AA0"/>
    <w:rsid w:val="32F94366"/>
    <w:rsid w:val="33044C2E"/>
    <w:rsid w:val="334119DE"/>
    <w:rsid w:val="334326C5"/>
    <w:rsid w:val="33504613"/>
    <w:rsid w:val="33680844"/>
    <w:rsid w:val="33AD7544"/>
    <w:rsid w:val="33B2493D"/>
    <w:rsid w:val="34101646"/>
    <w:rsid w:val="341C1B03"/>
    <w:rsid w:val="34225749"/>
    <w:rsid w:val="342D14A4"/>
    <w:rsid w:val="34315406"/>
    <w:rsid w:val="34340712"/>
    <w:rsid w:val="34384BCE"/>
    <w:rsid w:val="3442156A"/>
    <w:rsid w:val="34545741"/>
    <w:rsid w:val="348778C5"/>
    <w:rsid w:val="34B306BA"/>
    <w:rsid w:val="34E12212"/>
    <w:rsid w:val="34F8027E"/>
    <w:rsid w:val="350D0C35"/>
    <w:rsid w:val="3510527C"/>
    <w:rsid w:val="351B005A"/>
    <w:rsid w:val="35402A8F"/>
    <w:rsid w:val="355D23D3"/>
    <w:rsid w:val="356B689E"/>
    <w:rsid w:val="356C1F95"/>
    <w:rsid w:val="35BA38DA"/>
    <w:rsid w:val="35F5649C"/>
    <w:rsid w:val="36370E76"/>
    <w:rsid w:val="365A6D70"/>
    <w:rsid w:val="367D3CDF"/>
    <w:rsid w:val="36ED7235"/>
    <w:rsid w:val="36F67A33"/>
    <w:rsid w:val="37355BF1"/>
    <w:rsid w:val="3745169B"/>
    <w:rsid w:val="374E3E1D"/>
    <w:rsid w:val="375F5D68"/>
    <w:rsid w:val="379540A7"/>
    <w:rsid w:val="37DC1DA8"/>
    <w:rsid w:val="37EF1A09"/>
    <w:rsid w:val="37F948FB"/>
    <w:rsid w:val="37FF52AA"/>
    <w:rsid w:val="385E11CD"/>
    <w:rsid w:val="385E7342"/>
    <w:rsid w:val="387B0E40"/>
    <w:rsid w:val="388F3AA5"/>
    <w:rsid w:val="38990735"/>
    <w:rsid w:val="38C70607"/>
    <w:rsid w:val="38CD161E"/>
    <w:rsid w:val="390E5EBF"/>
    <w:rsid w:val="39203900"/>
    <w:rsid w:val="394B7113"/>
    <w:rsid w:val="3966033A"/>
    <w:rsid w:val="396E67D8"/>
    <w:rsid w:val="39C541E9"/>
    <w:rsid w:val="39DC647F"/>
    <w:rsid w:val="3A377697"/>
    <w:rsid w:val="3A4B4F94"/>
    <w:rsid w:val="3A5C534F"/>
    <w:rsid w:val="3A7A198A"/>
    <w:rsid w:val="3A8D375B"/>
    <w:rsid w:val="3A914116"/>
    <w:rsid w:val="3AC84793"/>
    <w:rsid w:val="3AD44EE6"/>
    <w:rsid w:val="3ADB4B13"/>
    <w:rsid w:val="3AE01ADD"/>
    <w:rsid w:val="3B112EBB"/>
    <w:rsid w:val="3B516239"/>
    <w:rsid w:val="3B7177DB"/>
    <w:rsid w:val="3B9528C7"/>
    <w:rsid w:val="3BBB750F"/>
    <w:rsid w:val="3C2D0D52"/>
    <w:rsid w:val="3C553E04"/>
    <w:rsid w:val="3CB2745A"/>
    <w:rsid w:val="3CE31410"/>
    <w:rsid w:val="3CE867B4"/>
    <w:rsid w:val="3D112421"/>
    <w:rsid w:val="3D1141CF"/>
    <w:rsid w:val="3D1E68EC"/>
    <w:rsid w:val="3D3E7A22"/>
    <w:rsid w:val="3D4E71D1"/>
    <w:rsid w:val="3DBC6F0A"/>
    <w:rsid w:val="3DE73182"/>
    <w:rsid w:val="3E0718DF"/>
    <w:rsid w:val="3E0F0C5F"/>
    <w:rsid w:val="3E4573F0"/>
    <w:rsid w:val="3E602DD4"/>
    <w:rsid w:val="3E9B6A9C"/>
    <w:rsid w:val="3EBF69D8"/>
    <w:rsid w:val="3EC9359F"/>
    <w:rsid w:val="3ECA6D2C"/>
    <w:rsid w:val="3F0538C0"/>
    <w:rsid w:val="3F0B1B5B"/>
    <w:rsid w:val="3F12422F"/>
    <w:rsid w:val="3F147AA8"/>
    <w:rsid w:val="3FB5767C"/>
    <w:rsid w:val="3FD6658F"/>
    <w:rsid w:val="40086360"/>
    <w:rsid w:val="40104C12"/>
    <w:rsid w:val="40167C4E"/>
    <w:rsid w:val="4027501B"/>
    <w:rsid w:val="402E3CC4"/>
    <w:rsid w:val="403734DC"/>
    <w:rsid w:val="403A3DBC"/>
    <w:rsid w:val="405A7C3B"/>
    <w:rsid w:val="40950D76"/>
    <w:rsid w:val="409B2AEE"/>
    <w:rsid w:val="40E35E83"/>
    <w:rsid w:val="40EA28D3"/>
    <w:rsid w:val="41263FC1"/>
    <w:rsid w:val="412D4F27"/>
    <w:rsid w:val="41361BEA"/>
    <w:rsid w:val="414C3A28"/>
    <w:rsid w:val="415E7BFF"/>
    <w:rsid w:val="41600711"/>
    <w:rsid w:val="41901704"/>
    <w:rsid w:val="41AC7CA2"/>
    <w:rsid w:val="41FA75BA"/>
    <w:rsid w:val="41FD11C6"/>
    <w:rsid w:val="4278084D"/>
    <w:rsid w:val="427F4F9C"/>
    <w:rsid w:val="42D068DB"/>
    <w:rsid w:val="42EA009C"/>
    <w:rsid w:val="42F15627"/>
    <w:rsid w:val="42FB0B19"/>
    <w:rsid w:val="430345BA"/>
    <w:rsid w:val="43065E58"/>
    <w:rsid w:val="432E3DDB"/>
    <w:rsid w:val="435272F0"/>
    <w:rsid w:val="43574906"/>
    <w:rsid w:val="43700D41"/>
    <w:rsid w:val="43BB6C43"/>
    <w:rsid w:val="43DD7542"/>
    <w:rsid w:val="4424262B"/>
    <w:rsid w:val="445A54C2"/>
    <w:rsid w:val="44613C8E"/>
    <w:rsid w:val="44677831"/>
    <w:rsid w:val="44B62EB7"/>
    <w:rsid w:val="44BC74BF"/>
    <w:rsid w:val="44D4283C"/>
    <w:rsid w:val="44EF48D1"/>
    <w:rsid w:val="44F26D52"/>
    <w:rsid w:val="450308A1"/>
    <w:rsid w:val="45126174"/>
    <w:rsid w:val="4537679D"/>
    <w:rsid w:val="454669E0"/>
    <w:rsid w:val="45467BF7"/>
    <w:rsid w:val="454A2974"/>
    <w:rsid w:val="455A72A4"/>
    <w:rsid w:val="45625304"/>
    <w:rsid w:val="45941E41"/>
    <w:rsid w:val="45BD7CDC"/>
    <w:rsid w:val="45C75D73"/>
    <w:rsid w:val="45F4267C"/>
    <w:rsid w:val="45F83D1E"/>
    <w:rsid w:val="463033E4"/>
    <w:rsid w:val="463C1B35"/>
    <w:rsid w:val="464717FE"/>
    <w:rsid w:val="464A0DDF"/>
    <w:rsid w:val="46541B0B"/>
    <w:rsid w:val="46715CDF"/>
    <w:rsid w:val="468E4AE3"/>
    <w:rsid w:val="46AB11C4"/>
    <w:rsid w:val="46DF533E"/>
    <w:rsid w:val="46E510A4"/>
    <w:rsid w:val="47290367"/>
    <w:rsid w:val="475E7A8B"/>
    <w:rsid w:val="477E4B57"/>
    <w:rsid w:val="4790454D"/>
    <w:rsid w:val="47B522C9"/>
    <w:rsid w:val="47CD0D99"/>
    <w:rsid w:val="47EB386F"/>
    <w:rsid w:val="47EF381E"/>
    <w:rsid w:val="47FE1F9A"/>
    <w:rsid w:val="48181D3F"/>
    <w:rsid w:val="48345216"/>
    <w:rsid w:val="483B1DC3"/>
    <w:rsid w:val="4843772B"/>
    <w:rsid w:val="487D4E0F"/>
    <w:rsid w:val="4884619D"/>
    <w:rsid w:val="489D3633"/>
    <w:rsid w:val="48B4264F"/>
    <w:rsid w:val="48F3642B"/>
    <w:rsid w:val="49004E8E"/>
    <w:rsid w:val="491E7A65"/>
    <w:rsid w:val="492076F7"/>
    <w:rsid w:val="492B483F"/>
    <w:rsid w:val="4930226B"/>
    <w:rsid w:val="493C57C4"/>
    <w:rsid w:val="495024F9"/>
    <w:rsid w:val="49513161"/>
    <w:rsid w:val="495B760C"/>
    <w:rsid w:val="496751FB"/>
    <w:rsid w:val="499F167E"/>
    <w:rsid w:val="49A34DCE"/>
    <w:rsid w:val="49CC47E2"/>
    <w:rsid w:val="49F30C25"/>
    <w:rsid w:val="4A4D2CE3"/>
    <w:rsid w:val="4A5E657A"/>
    <w:rsid w:val="4A633B90"/>
    <w:rsid w:val="4A7E54C2"/>
    <w:rsid w:val="4A821D4E"/>
    <w:rsid w:val="4AAD305D"/>
    <w:rsid w:val="4AAE7501"/>
    <w:rsid w:val="4ABC70AC"/>
    <w:rsid w:val="4ADE2C90"/>
    <w:rsid w:val="4B0272BD"/>
    <w:rsid w:val="4B090BDC"/>
    <w:rsid w:val="4B2A39EC"/>
    <w:rsid w:val="4B783B89"/>
    <w:rsid w:val="4BA652E5"/>
    <w:rsid w:val="4BE551A5"/>
    <w:rsid w:val="4BF76C86"/>
    <w:rsid w:val="4BFF5B3B"/>
    <w:rsid w:val="4C1E428B"/>
    <w:rsid w:val="4C5E0AB3"/>
    <w:rsid w:val="4C676388"/>
    <w:rsid w:val="4C7F581C"/>
    <w:rsid w:val="4C856040"/>
    <w:rsid w:val="4CC446E4"/>
    <w:rsid w:val="4D186EB4"/>
    <w:rsid w:val="4D1902D0"/>
    <w:rsid w:val="4D1B2866"/>
    <w:rsid w:val="4D592376"/>
    <w:rsid w:val="4D6A5552"/>
    <w:rsid w:val="4D6B792C"/>
    <w:rsid w:val="4D6E2F78"/>
    <w:rsid w:val="4DA40F81"/>
    <w:rsid w:val="4DBC3CE3"/>
    <w:rsid w:val="4DCB500F"/>
    <w:rsid w:val="4DD54DA5"/>
    <w:rsid w:val="4E14648D"/>
    <w:rsid w:val="4E210DC9"/>
    <w:rsid w:val="4E382A28"/>
    <w:rsid w:val="4E4C125C"/>
    <w:rsid w:val="4E4F682D"/>
    <w:rsid w:val="4E5C64FB"/>
    <w:rsid w:val="4E6879C7"/>
    <w:rsid w:val="4E832DF6"/>
    <w:rsid w:val="4ECB71B5"/>
    <w:rsid w:val="4ED056C5"/>
    <w:rsid w:val="4EDD03B5"/>
    <w:rsid w:val="4F1731E6"/>
    <w:rsid w:val="4F560168"/>
    <w:rsid w:val="4F6208BA"/>
    <w:rsid w:val="502B5150"/>
    <w:rsid w:val="504B75A0"/>
    <w:rsid w:val="506366F8"/>
    <w:rsid w:val="506B379F"/>
    <w:rsid w:val="50707007"/>
    <w:rsid w:val="509D7C75"/>
    <w:rsid w:val="50A10350"/>
    <w:rsid w:val="50BA4FF6"/>
    <w:rsid w:val="50C04D6B"/>
    <w:rsid w:val="50ED5940"/>
    <w:rsid w:val="510375FF"/>
    <w:rsid w:val="512F5729"/>
    <w:rsid w:val="514630BC"/>
    <w:rsid w:val="51AC406F"/>
    <w:rsid w:val="51CD20E5"/>
    <w:rsid w:val="51D435BC"/>
    <w:rsid w:val="51DD3CA5"/>
    <w:rsid w:val="521969DC"/>
    <w:rsid w:val="521F224C"/>
    <w:rsid w:val="523F1946"/>
    <w:rsid w:val="525F0456"/>
    <w:rsid w:val="52C11D9C"/>
    <w:rsid w:val="52FE0BBF"/>
    <w:rsid w:val="530A2A4C"/>
    <w:rsid w:val="53373E0C"/>
    <w:rsid w:val="534722A1"/>
    <w:rsid w:val="5379629D"/>
    <w:rsid w:val="538F3C48"/>
    <w:rsid w:val="53B1061A"/>
    <w:rsid w:val="53C5766A"/>
    <w:rsid w:val="53D31089"/>
    <w:rsid w:val="53E8616E"/>
    <w:rsid w:val="53EA25CA"/>
    <w:rsid w:val="53F32429"/>
    <w:rsid w:val="540463E4"/>
    <w:rsid w:val="54260108"/>
    <w:rsid w:val="543F11CA"/>
    <w:rsid w:val="54571AD0"/>
    <w:rsid w:val="54790B80"/>
    <w:rsid w:val="54A252F6"/>
    <w:rsid w:val="54E24B75"/>
    <w:rsid w:val="552E31B7"/>
    <w:rsid w:val="555111B5"/>
    <w:rsid w:val="55C862D0"/>
    <w:rsid w:val="55D41DE6"/>
    <w:rsid w:val="56027B31"/>
    <w:rsid w:val="560721BC"/>
    <w:rsid w:val="56122B57"/>
    <w:rsid w:val="56150435"/>
    <w:rsid w:val="56290384"/>
    <w:rsid w:val="56301712"/>
    <w:rsid w:val="56A25A40"/>
    <w:rsid w:val="56AC391A"/>
    <w:rsid w:val="56B50B20"/>
    <w:rsid w:val="56B54932"/>
    <w:rsid w:val="56B566B1"/>
    <w:rsid w:val="56C244E7"/>
    <w:rsid w:val="56D23B8E"/>
    <w:rsid w:val="56D57BC4"/>
    <w:rsid w:val="56E25499"/>
    <w:rsid w:val="56E80755"/>
    <w:rsid w:val="56EB388B"/>
    <w:rsid w:val="573160EB"/>
    <w:rsid w:val="573F0E1D"/>
    <w:rsid w:val="5753191E"/>
    <w:rsid w:val="57835872"/>
    <w:rsid w:val="57F16C7F"/>
    <w:rsid w:val="58242BB1"/>
    <w:rsid w:val="582C2879"/>
    <w:rsid w:val="58415025"/>
    <w:rsid w:val="586B6A32"/>
    <w:rsid w:val="586F377C"/>
    <w:rsid w:val="586F7A0C"/>
    <w:rsid w:val="58C14CA7"/>
    <w:rsid w:val="59CC3500"/>
    <w:rsid w:val="59DD5E3D"/>
    <w:rsid w:val="59E92866"/>
    <w:rsid w:val="5A0D3B48"/>
    <w:rsid w:val="5A0E6782"/>
    <w:rsid w:val="5A225816"/>
    <w:rsid w:val="5A280929"/>
    <w:rsid w:val="5A4C4759"/>
    <w:rsid w:val="5A4D7A30"/>
    <w:rsid w:val="5AA8511B"/>
    <w:rsid w:val="5B1213E7"/>
    <w:rsid w:val="5B130FC6"/>
    <w:rsid w:val="5B215ACE"/>
    <w:rsid w:val="5B404FBE"/>
    <w:rsid w:val="5B4D0671"/>
    <w:rsid w:val="5B5A2D8E"/>
    <w:rsid w:val="5B5A7B3C"/>
    <w:rsid w:val="5B7C71A8"/>
    <w:rsid w:val="5BC36241"/>
    <w:rsid w:val="5BCB39E8"/>
    <w:rsid w:val="5BDB3ECE"/>
    <w:rsid w:val="5C484C48"/>
    <w:rsid w:val="5C7B120D"/>
    <w:rsid w:val="5C7E028D"/>
    <w:rsid w:val="5CA249EC"/>
    <w:rsid w:val="5CC538A1"/>
    <w:rsid w:val="5CD050B5"/>
    <w:rsid w:val="5CE6749E"/>
    <w:rsid w:val="5CE67688"/>
    <w:rsid w:val="5CE9261B"/>
    <w:rsid w:val="5CEB6695"/>
    <w:rsid w:val="5D0531AA"/>
    <w:rsid w:val="5D233C79"/>
    <w:rsid w:val="5D812854"/>
    <w:rsid w:val="5DB26673"/>
    <w:rsid w:val="5DB449D7"/>
    <w:rsid w:val="5DD2206D"/>
    <w:rsid w:val="5DDC7A8A"/>
    <w:rsid w:val="5DEC4171"/>
    <w:rsid w:val="5E4C2E61"/>
    <w:rsid w:val="5EA44206"/>
    <w:rsid w:val="5EC45395"/>
    <w:rsid w:val="5ED3492C"/>
    <w:rsid w:val="5EF37781"/>
    <w:rsid w:val="5F125E59"/>
    <w:rsid w:val="5F142ED4"/>
    <w:rsid w:val="5F1A2F60"/>
    <w:rsid w:val="5F22344E"/>
    <w:rsid w:val="5F2755FB"/>
    <w:rsid w:val="5F2E6A0B"/>
    <w:rsid w:val="5F3C16AE"/>
    <w:rsid w:val="5FAA608B"/>
    <w:rsid w:val="5FBE4482"/>
    <w:rsid w:val="5FDB26EF"/>
    <w:rsid w:val="5FED2422"/>
    <w:rsid w:val="60016052"/>
    <w:rsid w:val="60327E35"/>
    <w:rsid w:val="603544E9"/>
    <w:rsid w:val="604F09E7"/>
    <w:rsid w:val="60911000"/>
    <w:rsid w:val="60A50EAA"/>
    <w:rsid w:val="60E6759D"/>
    <w:rsid w:val="6110461A"/>
    <w:rsid w:val="611F14AB"/>
    <w:rsid w:val="612A130B"/>
    <w:rsid w:val="614A1496"/>
    <w:rsid w:val="61812E22"/>
    <w:rsid w:val="618563C4"/>
    <w:rsid w:val="61995D95"/>
    <w:rsid w:val="61BC02FE"/>
    <w:rsid w:val="61D659BE"/>
    <w:rsid w:val="61F320B5"/>
    <w:rsid w:val="62540537"/>
    <w:rsid w:val="62652744"/>
    <w:rsid w:val="626F1548"/>
    <w:rsid w:val="627A699C"/>
    <w:rsid w:val="628630B9"/>
    <w:rsid w:val="62D17DD9"/>
    <w:rsid w:val="62EA0E9B"/>
    <w:rsid w:val="635A7FAD"/>
    <w:rsid w:val="638135AD"/>
    <w:rsid w:val="63957059"/>
    <w:rsid w:val="639A1555"/>
    <w:rsid w:val="63B0096C"/>
    <w:rsid w:val="640C320C"/>
    <w:rsid w:val="64175442"/>
    <w:rsid w:val="64216B3E"/>
    <w:rsid w:val="643028DD"/>
    <w:rsid w:val="64406FC4"/>
    <w:rsid w:val="64520AA6"/>
    <w:rsid w:val="64664AA2"/>
    <w:rsid w:val="646B1B68"/>
    <w:rsid w:val="647C4A69"/>
    <w:rsid w:val="647C7B30"/>
    <w:rsid w:val="649F0642"/>
    <w:rsid w:val="64B47FC7"/>
    <w:rsid w:val="64F60C68"/>
    <w:rsid w:val="64FA7F9E"/>
    <w:rsid w:val="65126AAB"/>
    <w:rsid w:val="65171492"/>
    <w:rsid w:val="653875CD"/>
    <w:rsid w:val="65754A05"/>
    <w:rsid w:val="65791F76"/>
    <w:rsid w:val="65836EDE"/>
    <w:rsid w:val="658A21EC"/>
    <w:rsid w:val="659A4568"/>
    <w:rsid w:val="65B71594"/>
    <w:rsid w:val="65C7198A"/>
    <w:rsid w:val="65DE7797"/>
    <w:rsid w:val="65DF4536"/>
    <w:rsid w:val="6678573D"/>
    <w:rsid w:val="667B2536"/>
    <w:rsid w:val="6692787F"/>
    <w:rsid w:val="66B622F4"/>
    <w:rsid w:val="672A2DDC"/>
    <w:rsid w:val="673F17B5"/>
    <w:rsid w:val="67424500"/>
    <w:rsid w:val="677E43BB"/>
    <w:rsid w:val="67C600DD"/>
    <w:rsid w:val="67CD6277"/>
    <w:rsid w:val="67E17311"/>
    <w:rsid w:val="67F7228C"/>
    <w:rsid w:val="68153AD4"/>
    <w:rsid w:val="68660FC4"/>
    <w:rsid w:val="68885003"/>
    <w:rsid w:val="68A12338"/>
    <w:rsid w:val="68A13DAA"/>
    <w:rsid w:val="691C78D4"/>
    <w:rsid w:val="693A48D0"/>
    <w:rsid w:val="694D2884"/>
    <w:rsid w:val="69A9560C"/>
    <w:rsid w:val="69BE5A22"/>
    <w:rsid w:val="69C441F4"/>
    <w:rsid w:val="69DA3B92"/>
    <w:rsid w:val="69F745C9"/>
    <w:rsid w:val="6A4D243B"/>
    <w:rsid w:val="6A5517CE"/>
    <w:rsid w:val="6A7F636D"/>
    <w:rsid w:val="6A941E18"/>
    <w:rsid w:val="6AE64E51"/>
    <w:rsid w:val="6AF705A4"/>
    <w:rsid w:val="6B035A20"/>
    <w:rsid w:val="6B685053"/>
    <w:rsid w:val="6B877897"/>
    <w:rsid w:val="6B9F7EDB"/>
    <w:rsid w:val="6BAC26F5"/>
    <w:rsid w:val="6BAE6F0A"/>
    <w:rsid w:val="6BDE4C2C"/>
    <w:rsid w:val="6C64581A"/>
    <w:rsid w:val="6C7A1F6D"/>
    <w:rsid w:val="6C88775B"/>
    <w:rsid w:val="6C895281"/>
    <w:rsid w:val="6CA200D8"/>
    <w:rsid w:val="6CA65E33"/>
    <w:rsid w:val="6CC30793"/>
    <w:rsid w:val="6CC369E5"/>
    <w:rsid w:val="6CED19B3"/>
    <w:rsid w:val="6D047C43"/>
    <w:rsid w:val="6D21370B"/>
    <w:rsid w:val="6D2351EF"/>
    <w:rsid w:val="6D4F0278"/>
    <w:rsid w:val="6D5A5F9B"/>
    <w:rsid w:val="6D6F26C8"/>
    <w:rsid w:val="6D726375"/>
    <w:rsid w:val="6DA14226"/>
    <w:rsid w:val="6DCB6D93"/>
    <w:rsid w:val="6DE06CD0"/>
    <w:rsid w:val="6E105C5A"/>
    <w:rsid w:val="6E1868BC"/>
    <w:rsid w:val="6E251EBD"/>
    <w:rsid w:val="6E407BC1"/>
    <w:rsid w:val="6E4E6782"/>
    <w:rsid w:val="6E5A6ED5"/>
    <w:rsid w:val="6EA9552C"/>
    <w:rsid w:val="6F0A249D"/>
    <w:rsid w:val="6F7E3ECB"/>
    <w:rsid w:val="6F862CF7"/>
    <w:rsid w:val="6F8E3418"/>
    <w:rsid w:val="6FBC4E2F"/>
    <w:rsid w:val="6FBF3137"/>
    <w:rsid w:val="6FC860C0"/>
    <w:rsid w:val="6FDC3FF8"/>
    <w:rsid w:val="6FDE2FB2"/>
    <w:rsid w:val="6FEA2FED"/>
    <w:rsid w:val="6FFD500B"/>
    <w:rsid w:val="700047DF"/>
    <w:rsid w:val="70300783"/>
    <w:rsid w:val="706621A8"/>
    <w:rsid w:val="707253E5"/>
    <w:rsid w:val="708C3591"/>
    <w:rsid w:val="70926DFA"/>
    <w:rsid w:val="70D34D1C"/>
    <w:rsid w:val="713B6AD3"/>
    <w:rsid w:val="713F6856"/>
    <w:rsid w:val="71902C0D"/>
    <w:rsid w:val="71BC3C2B"/>
    <w:rsid w:val="71C0786A"/>
    <w:rsid w:val="71EA0570"/>
    <w:rsid w:val="71F47640"/>
    <w:rsid w:val="720B619D"/>
    <w:rsid w:val="7229553C"/>
    <w:rsid w:val="729F75AC"/>
    <w:rsid w:val="72AC5C73"/>
    <w:rsid w:val="72AF1FFE"/>
    <w:rsid w:val="72B84D07"/>
    <w:rsid w:val="72D03C09"/>
    <w:rsid w:val="72EC050E"/>
    <w:rsid w:val="72F63973"/>
    <w:rsid w:val="73373C88"/>
    <w:rsid w:val="73644352"/>
    <w:rsid w:val="737F0F2C"/>
    <w:rsid w:val="738C1BA4"/>
    <w:rsid w:val="738C400F"/>
    <w:rsid w:val="73AD3F4B"/>
    <w:rsid w:val="73D40519"/>
    <w:rsid w:val="73E20218"/>
    <w:rsid w:val="73E32513"/>
    <w:rsid w:val="742463DE"/>
    <w:rsid w:val="74406B6D"/>
    <w:rsid w:val="745B53DB"/>
    <w:rsid w:val="746E2181"/>
    <w:rsid w:val="749D565F"/>
    <w:rsid w:val="74B17369"/>
    <w:rsid w:val="74F033AB"/>
    <w:rsid w:val="751A5610"/>
    <w:rsid w:val="758F321E"/>
    <w:rsid w:val="759E127A"/>
    <w:rsid w:val="759F78C3"/>
    <w:rsid w:val="75BA294F"/>
    <w:rsid w:val="75E654F2"/>
    <w:rsid w:val="760D2A7F"/>
    <w:rsid w:val="76197675"/>
    <w:rsid w:val="76595CC4"/>
    <w:rsid w:val="768F338C"/>
    <w:rsid w:val="76964D21"/>
    <w:rsid w:val="76980C33"/>
    <w:rsid w:val="76982C90"/>
    <w:rsid w:val="76B61368"/>
    <w:rsid w:val="76BB5586"/>
    <w:rsid w:val="76C21ABB"/>
    <w:rsid w:val="76C429C0"/>
    <w:rsid w:val="76D53613"/>
    <w:rsid w:val="76DD48B7"/>
    <w:rsid w:val="76EE0B02"/>
    <w:rsid w:val="771C53D8"/>
    <w:rsid w:val="77511C80"/>
    <w:rsid w:val="775F555C"/>
    <w:rsid w:val="77644920"/>
    <w:rsid w:val="77A64B50"/>
    <w:rsid w:val="77F13F36"/>
    <w:rsid w:val="780E2ADE"/>
    <w:rsid w:val="78503DA5"/>
    <w:rsid w:val="785762ED"/>
    <w:rsid w:val="787119EB"/>
    <w:rsid w:val="789A755D"/>
    <w:rsid w:val="78D13A8C"/>
    <w:rsid w:val="7927654D"/>
    <w:rsid w:val="792F0F5E"/>
    <w:rsid w:val="79424421"/>
    <w:rsid w:val="79A82E00"/>
    <w:rsid w:val="79F74F7E"/>
    <w:rsid w:val="79F96EFA"/>
    <w:rsid w:val="7A0E3CB1"/>
    <w:rsid w:val="7A205476"/>
    <w:rsid w:val="7A5169B7"/>
    <w:rsid w:val="7A56163D"/>
    <w:rsid w:val="7A81055A"/>
    <w:rsid w:val="7AB35899"/>
    <w:rsid w:val="7ACA3634"/>
    <w:rsid w:val="7AD95625"/>
    <w:rsid w:val="7ADC77A9"/>
    <w:rsid w:val="7B0D3704"/>
    <w:rsid w:val="7B2A40D3"/>
    <w:rsid w:val="7B4C229B"/>
    <w:rsid w:val="7B8C157A"/>
    <w:rsid w:val="7B8D17FF"/>
    <w:rsid w:val="7BB40C45"/>
    <w:rsid w:val="7BD366EA"/>
    <w:rsid w:val="7C8141C6"/>
    <w:rsid w:val="7CD36C81"/>
    <w:rsid w:val="7CEA644A"/>
    <w:rsid w:val="7D3D43E8"/>
    <w:rsid w:val="7D832325"/>
    <w:rsid w:val="7DAA5057"/>
    <w:rsid w:val="7DC51E91"/>
    <w:rsid w:val="7DF5350A"/>
    <w:rsid w:val="7E2117BD"/>
    <w:rsid w:val="7E2A0282"/>
    <w:rsid w:val="7E492AC2"/>
    <w:rsid w:val="7E903A6C"/>
    <w:rsid w:val="7E953F59"/>
    <w:rsid w:val="7E9A0745"/>
    <w:rsid w:val="7EB00E01"/>
    <w:rsid w:val="7EC14D4E"/>
    <w:rsid w:val="7ECD724F"/>
    <w:rsid w:val="7F0614FB"/>
    <w:rsid w:val="7F1C4F25"/>
    <w:rsid w:val="7F587460"/>
    <w:rsid w:val="7F836ADC"/>
    <w:rsid w:val="7F89586C"/>
    <w:rsid w:val="7F8C4C3D"/>
    <w:rsid w:val="7F9D6B41"/>
    <w:rsid w:val="7FAB3A34"/>
    <w:rsid w:val="7FC56178"/>
    <w:rsid w:val="7FCB5E84"/>
    <w:rsid w:val="7FD20FF5"/>
    <w:rsid w:val="7FF12376"/>
    <w:rsid w:val="B7CFAF11"/>
    <w:rsid w:val="B95FA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zh-CN" w:bidi="ar-SA"/>
    </w:rPr>
  </w:style>
  <w:style w:type="paragraph" w:styleId="2">
    <w:name w:val="heading 1"/>
    <w:basedOn w:val="1"/>
    <w:next w:val="1"/>
    <w:link w:val="54"/>
    <w:qFormat/>
    <w:uiPriority w:val="0"/>
    <w:pPr>
      <w:keepNext/>
      <w:keepLines/>
      <w:widowControl/>
      <w:spacing w:before="340" w:after="330" w:line="578" w:lineRule="auto"/>
      <w:outlineLvl w:val="0"/>
    </w:pPr>
    <w:rPr>
      <w:rFonts w:ascii="宋体" w:hAnsi="宋体" w:eastAsia="宋体" w:cs="宋体"/>
      <w:b/>
      <w:bCs/>
      <w:color w:val="auto"/>
      <w:kern w:val="44"/>
      <w:sz w:val="44"/>
      <w:szCs w:val="44"/>
    </w:rPr>
  </w:style>
  <w:style w:type="paragraph" w:styleId="3">
    <w:name w:val="heading 2"/>
    <w:basedOn w:val="1"/>
    <w:next w:val="1"/>
    <w:link w:val="5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9"/>
    <w:unhideWhenUsed/>
    <w:qFormat/>
    <w:uiPriority w:val="0"/>
  </w:style>
  <w:style w:type="paragraph" w:styleId="7">
    <w:name w:val="Body Text"/>
    <w:basedOn w:val="1"/>
    <w:qFormat/>
    <w:uiPriority w:val="0"/>
    <w:rPr>
      <w:rFonts w:ascii="宋体" w:hAnsi="宋体" w:eastAsia="宋体" w:cs="宋体"/>
      <w:sz w:val="27"/>
      <w:szCs w:val="27"/>
      <w:lang w:val="en-US" w:eastAsia="en-US" w:bidi="ar-SA"/>
    </w:rPr>
  </w:style>
  <w:style w:type="paragraph" w:styleId="8">
    <w:name w:val="Date"/>
    <w:basedOn w:val="1"/>
    <w:next w:val="1"/>
    <w:link w:val="55"/>
    <w:semiHidden/>
    <w:unhideWhenUsed/>
    <w:qFormat/>
    <w:uiPriority w:val="99"/>
    <w:pPr>
      <w:ind w:left="100" w:leftChars="2500"/>
    </w:pPr>
  </w:style>
  <w:style w:type="paragraph" w:styleId="9">
    <w:name w:val="Balloon Text"/>
    <w:basedOn w:val="1"/>
    <w:link w:val="51"/>
    <w:semiHidden/>
    <w:unhideWhenUsed/>
    <w:qFormat/>
    <w:uiPriority w:val="99"/>
    <w:rPr>
      <w:sz w:val="18"/>
      <w:szCs w:val="18"/>
    </w:rPr>
  </w:style>
  <w:style w:type="paragraph" w:styleId="10">
    <w:name w:val="footer"/>
    <w:basedOn w:val="1"/>
    <w:link w:val="53"/>
    <w:unhideWhenUsed/>
    <w:qFormat/>
    <w:uiPriority w:val="99"/>
    <w:pPr>
      <w:tabs>
        <w:tab w:val="center" w:pos="4153"/>
        <w:tab w:val="right" w:pos="8306"/>
      </w:tabs>
      <w:snapToGrid w:val="0"/>
    </w:pPr>
    <w:rPr>
      <w:sz w:val="18"/>
      <w:szCs w:val="18"/>
    </w:rPr>
  </w:style>
  <w:style w:type="paragraph" w:styleId="11">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pPr>
    <w:rPr>
      <w:rFonts w:ascii="宋体" w:hAnsi="宋体" w:eastAsia="宋体" w:cs="宋体"/>
      <w:color w:val="auto"/>
    </w:rPr>
  </w:style>
  <w:style w:type="paragraph" w:styleId="15">
    <w:name w:val="annotation subject"/>
    <w:basedOn w:val="6"/>
    <w:next w:val="6"/>
    <w:link w:val="50"/>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mphasis"/>
    <w:basedOn w:val="18"/>
    <w:qFormat/>
    <w:uiPriority w:val="20"/>
    <w:rPr>
      <w:i/>
      <w:iCs/>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unhideWhenUsed/>
    <w:qFormat/>
    <w:uiPriority w:val="0"/>
    <w:rPr>
      <w:sz w:val="21"/>
      <w:szCs w:val="21"/>
    </w:rPr>
  </w:style>
  <w:style w:type="character" w:customStyle="1" w:styleId="23">
    <w:name w:val="Body text|2_"/>
    <w:basedOn w:val="18"/>
    <w:link w:val="24"/>
    <w:qFormat/>
    <w:uiPriority w:val="0"/>
    <w:rPr>
      <w:sz w:val="28"/>
      <w:szCs w:val="28"/>
      <w:u w:val="none"/>
      <w:shd w:val="clear" w:color="auto" w:fill="auto"/>
    </w:rPr>
  </w:style>
  <w:style w:type="paragraph" w:customStyle="1" w:styleId="24">
    <w:name w:val="Body text|2"/>
    <w:basedOn w:val="1"/>
    <w:link w:val="23"/>
    <w:qFormat/>
    <w:uiPriority w:val="0"/>
    <w:pPr>
      <w:spacing w:after="2340"/>
      <w:jc w:val="center"/>
    </w:pPr>
    <w:rPr>
      <w:sz w:val="28"/>
      <w:szCs w:val="28"/>
    </w:rPr>
  </w:style>
  <w:style w:type="character" w:customStyle="1" w:styleId="25">
    <w:name w:val="Heading #2|1_"/>
    <w:basedOn w:val="18"/>
    <w:link w:val="26"/>
    <w:qFormat/>
    <w:uiPriority w:val="0"/>
    <w:rPr>
      <w:rFonts w:ascii="宋体" w:hAnsi="宋体" w:eastAsia="宋体" w:cs="宋体"/>
      <w:sz w:val="48"/>
      <w:szCs w:val="48"/>
      <w:u w:val="none"/>
      <w:shd w:val="clear" w:color="auto" w:fill="auto"/>
      <w:lang w:val="zh-TW" w:eastAsia="zh-TW" w:bidi="zh-TW"/>
    </w:rPr>
  </w:style>
  <w:style w:type="paragraph" w:customStyle="1" w:styleId="26">
    <w:name w:val="Heading #2|1"/>
    <w:basedOn w:val="1"/>
    <w:link w:val="25"/>
    <w:qFormat/>
    <w:uiPriority w:val="0"/>
    <w:pPr>
      <w:spacing w:after="160"/>
      <w:jc w:val="center"/>
      <w:outlineLvl w:val="1"/>
    </w:pPr>
    <w:rPr>
      <w:rFonts w:ascii="宋体" w:hAnsi="宋体" w:eastAsia="宋体" w:cs="宋体"/>
      <w:sz w:val="48"/>
      <w:szCs w:val="48"/>
      <w:lang w:val="zh-TW" w:eastAsia="zh-TW" w:bidi="zh-TW"/>
    </w:rPr>
  </w:style>
  <w:style w:type="character" w:customStyle="1" w:styleId="27">
    <w:name w:val="Heading #1|1_"/>
    <w:basedOn w:val="18"/>
    <w:link w:val="28"/>
    <w:qFormat/>
    <w:uiPriority w:val="0"/>
    <w:rPr>
      <w:sz w:val="132"/>
      <w:szCs w:val="132"/>
      <w:u w:val="none"/>
      <w:shd w:val="clear" w:color="auto" w:fill="auto"/>
    </w:rPr>
  </w:style>
  <w:style w:type="paragraph" w:customStyle="1" w:styleId="28">
    <w:name w:val="Heading #1|1"/>
    <w:basedOn w:val="1"/>
    <w:link w:val="27"/>
    <w:qFormat/>
    <w:uiPriority w:val="0"/>
    <w:pPr>
      <w:jc w:val="right"/>
      <w:outlineLvl w:val="0"/>
    </w:pPr>
    <w:rPr>
      <w:sz w:val="132"/>
      <w:szCs w:val="132"/>
    </w:rPr>
  </w:style>
  <w:style w:type="character" w:customStyle="1" w:styleId="29">
    <w:name w:val="Body text|4_"/>
    <w:basedOn w:val="18"/>
    <w:link w:val="30"/>
    <w:qFormat/>
    <w:uiPriority w:val="0"/>
    <w:rPr>
      <w:rFonts w:ascii="宋体" w:hAnsi="宋体" w:eastAsia="宋体" w:cs="宋体"/>
      <w:sz w:val="28"/>
      <w:szCs w:val="28"/>
      <w:u w:val="none"/>
      <w:shd w:val="clear" w:color="auto" w:fill="auto"/>
      <w:lang w:val="zh-TW" w:eastAsia="zh-TW" w:bidi="zh-TW"/>
    </w:rPr>
  </w:style>
  <w:style w:type="paragraph" w:customStyle="1" w:styleId="30">
    <w:name w:val="Body text|4"/>
    <w:basedOn w:val="1"/>
    <w:link w:val="29"/>
    <w:qFormat/>
    <w:uiPriority w:val="0"/>
    <w:pPr>
      <w:spacing w:after="670" w:line="355" w:lineRule="exact"/>
      <w:jc w:val="center"/>
    </w:pPr>
    <w:rPr>
      <w:rFonts w:ascii="宋体" w:hAnsi="宋体" w:eastAsia="宋体" w:cs="宋体"/>
      <w:sz w:val="28"/>
      <w:szCs w:val="28"/>
      <w:lang w:val="zh-TW" w:eastAsia="zh-TW" w:bidi="zh-TW"/>
    </w:rPr>
  </w:style>
  <w:style w:type="character" w:customStyle="1" w:styleId="31">
    <w:name w:val="Body text|3_"/>
    <w:basedOn w:val="18"/>
    <w:link w:val="32"/>
    <w:qFormat/>
    <w:uiPriority w:val="0"/>
    <w:rPr>
      <w:sz w:val="20"/>
      <w:szCs w:val="20"/>
      <w:u w:val="none"/>
      <w:shd w:val="clear" w:color="auto" w:fill="auto"/>
    </w:rPr>
  </w:style>
  <w:style w:type="paragraph" w:customStyle="1" w:styleId="32">
    <w:name w:val="Body text|3"/>
    <w:basedOn w:val="1"/>
    <w:link w:val="31"/>
    <w:qFormat/>
    <w:uiPriority w:val="0"/>
    <w:pPr>
      <w:spacing w:after="1020"/>
      <w:jc w:val="center"/>
    </w:pPr>
    <w:rPr>
      <w:sz w:val="20"/>
      <w:szCs w:val="20"/>
    </w:rPr>
  </w:style>
  <w:style w:type="character" w:customStyle="1" w:styleId="33">
    <w:name w:val="Body text|1_"/>
    <w:basedOn w:val="18"/>
    <w:link w:val="34"/>
    <w:qFormat/>
    <w:uiPriority w:val="0"/>
    <w:rPr>
      <w:rFonts w:ascii="宋体" w:hAnsi="宋体" w:eastAsia="宋体" w:cs="宋体"/>
      <w:sz w:val="20"/>
      <w:szCs w:val="20"/>
      <w:u w:val="none"/>
      <w:shd w:val="clear" w:color="auto" w:fill="auto"/>
      <w:lang w:val="zh-TW" w:eastAsia="zh-TW" w:bidi="zh-TW"/>
    </w:rPr>
  </w:style>
  <w:style w:type="paragraph" w:customStyle="1" w:styleId="34">
    <w:name w:val="Body text|1"/>
    <w:basedOn w:val="1"/>
    <w:link w:val="33"/>
    <w:qFormat/>
    <w:uiPriority w:val="0"/>
    <w:pPr>
      <w:spacing w:line="432" w:lineRule="auto"/>
    </w:pPr>
    <w:rPr>
      <w:rFonts w:ascii="宋体" w:hAnsi="宋体" w:eastAsia="宋体" w:cs="宋体"/>
      <w:sz w:val="20"/>
      <w:szCs w:val="20"/>
      <w:lang w:val="zh-TW" w:eastAsia="zh-TW" w:bidi="zh-TW"/>
    </w:rPr>
  </w:style>
  <w:style w:type="character" w:customStyle="1" w:styleId="35">
    <w:name w:val="Header or footer|2_"/>
    <w:basedOn w:val="18"/>
    <w:link w:val="36"/>
    <w:qFormat/>
    <w:uiPriority w:val="0"/>
    <w:rPr>
      <w:sz w:val="20"/>
      <w:szCs w:val="20"/>
      <w:u w:val="none"/>
      <w:shd w:val="clear" w:color="auto" w:fill="auto"/>
      <w:lang w:val="zh-TW" w:eastAsia="zh-TW" w:bidi="zh-TW"/>
    </w:rPr>
  </w:style>
  <w:style w:type="paragraph" w:customStyle="1" w:styleId="36">
    <w:name w:val="Header or footer|2"/>
    <w:basedOn w:val="1"/>
    <w:link w:val="35"/>
    <w:qFormat/>
    <w:uiPriority w:val="0"/>
    <w:rPr>
      <w:sz w:val="20"/>
      <w:szCs w:val="20"/>
      <w:lang w:val="zh-TW" w:eastAsia="zh-TW" w:bidi="zh-TW"/>
    </w:rPr>
  </w:style>
  <w:style w:type="character" w:customStyle="1" w:styleId="37">
    <w:name w:val="Other|1_"/>
    <w:basedOn w:val="18"/>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Other|1"/>
    <w:basedOn w:val="1"/>
    <w:link w:val="37"/>
    <w:qFormat/>
    <w:uiPriority w:val="0"/>
    <w:pPr>
      <w:spacing w:line="432" w:lineRule="auto"/>
    </w:pPr>
    <w:rPr>
      <w:rFonts w:ascii="宋体" w:hAnsi="宋体" w:eastAsia="宋体" w:cs="宋体"/>
      <w:sz w:val="20"/>
      <w:szCs w:val="20"/>
      <w:lang w:val="zh-TW" w:eastAsia="zh-TW" w:bidi="zh-TW"/>
    </w:rPr>
  </w:style>
  <w:style w:type="character" w:customStyle="1" w:styleId="39">
    <w:name w:val="Table of contents|1_"/>
    <w:basedOn w:val="18"/>
    <w:link w:val="40"/>
    <w:qFormat/>
    <w:uiPriority w:val="0"/>
    <w:rPr>
      <w:sz w:val="20"/>
      <w:szCs w:val="20"/>
      <w:u w:val="none"/>
      <w:shd w:val="clear" w:color="auto" w:fill="auto"/>
    </w:rPr>
  </w:style>
  <w:style w:type="paragraph" w:customStyle="1" w:styleId="40">
    <w:name w:val="Table of contents|1"/>
    <w:basedOn w:val="1"/>
    <w:link w:val="39"/>
    <w:qFormat/>
    <w:uiPriority w:val="0"/>
    <w:pPr>
      <w:spacing w:after="200"/>
    </w:pPr>
    <w:rPr>
      <w:sz w:val="20"/>
      <w:szCs w:val="20"/>
    </w:rPr>
  </w:style>
  <w:style w:type="character" w:customStyle="1" w:styleId="41">
    <w:name w:val="Body text|5_"/>
    <w:basedOn w:val="18"/>
    <w:link w:val="42"/>
    <w:qFormat/>
    <w:uiPriority w:val="0"/>
    <w:rPr>
      <w:sz w:val="17"/>
      <w:szCs w:val="17"/>
      <w:u w:val="none"/>
      <w:shd w:val="clear" w:color="auto" w:fill="auto"/>
      <w:lang w:val="zh-TW" w:eastAsia="zh-TW" w:bidi="zh-TW"/>
    </w:rPr>
  </w:style>
  <w:style w:type="paragraph" w:customStyle="1" w:styleId="42">
    <w:name w:val="Body text|5"/>
    <w:basedOn w:val="1"/>
    <w:link w:val="41"/>
    <w:qFormat/>
    <w:uiPriority w:val="0"/>
    <w:pPr>
      <w:spacing w:after="220"/>
      <w:jc w:val="center"/>
    </w:pPr>
    <w:rPr>
      <w:sz w:val="17"/>
      <w:szCs w:val="17"/>
      <w:lang w:val="zh-TW" w:eastAsia="zh-TW" w:bidi="zh-TW"/>
    </w:rPr>
  </w:style>
  <w:style w:type="character" w:customStyle="1" w:styleId="43">
    <w:name w:val="Header or footer|1_"/>
    <w:basedOn w:val="18"/>
    <w:link w:val="44"/>
    <w:qFormat/>
    <w:uiPriority w:val="0"/>
    <w:rPr>
      <w:sz w:val="17"/>
      <w:szCs w:val="17"/>
      <w:u w:val="none"/>
      <w:shd w:val="clear" w:color="auto" w:fill="auto"/>
      <w:lang w:val="zh-TW" w:eastAsia="zh-TW" w:bidi="zh-TW"/>
    </w:rPr>
  </w:style>
  <w:style w:type="paragraph" w:customStyle="1" w:styleId="44">
    <w:name w:val="Header or footer|1"/>
    <w:basedOn w:val="1"/>
    <w:link w:val="43"/>
    <w:qFormat/>
    <w:uiPriority w:val="0"/>
    <w:rPr>
      <w:sz w:val="17"/>
      <w:szCs w:val="17"/>
      <w:lang w:val="zh-TW" w:eastAsia="zh-TW" w:bidi="zh-TW"/>
    </w:rPr>
  </w:style>
  <w:style w:type="character" w:customStyle="1" w:styleId="45">
    <w:name w:val="Table caption|1_"/>
    <w:basedOn w:val="18"/>
    <w:link w:val="46"/>
    <w:qFormat/>
    <w:uiPriority w:val="0"/>
    <w:rPr>
      <w:rFonts w:ascii="宋体" w:hAnsi="宋体" w:eastAsia="宋体" w:cs="宋体"/>
      <w:sz w:val="22"/>
      <w:szCs w:val="22"/>
      <w:u w:val="none"/>
      <w:shd w:val="clear" w:color="auto" w:fill="auto"/>
      <w:lang w:val="zh-TW" w:eastAsia="zh-TW" w:bidi="zh-TW"/>
    </w:rPr>
  </w:style>
  <w:style w:type="paragraph" w:customStyle="1" w:styleId="46">
    <w:name w:val="Table caption|1"/>
    <w:basedOn w:val="1"/>
    <w:link w:val="45"/>
    <w:qFormat/>
    <w:uiPriority w:val="0"/>
    <w:pPr>
      <w:jc w:val="center"/>
    </w:pPr>
    <w:rPr>
      <w:rFonts w:ascii="宋体" w:hAnsi="宋体" w:eastAsia="宋体" w:cs="宋体"/>
      <w:sz w:val="22"/>
      <w:szCs w:val="22"/>
      <w:lang w:val="zh-TW" w:eastAsia="zh-TW" w:bidi="zh-TW"/>
    </w:rPr>
  </w:style>
  <w:style w:type="character" w:customStyle="1" w:styleId="47">
    <w:name w:val="Other|2_"/>
    <w:basedOn w:val="18"/>
    <w:link w:val="48"/>
    <w:qFormat/>
    <w:uiPriority w:val="0"/>
    <w:rPr>
      <w:rFonts w:ascii="宋体" w:hAnsi="宋体" w:eastAsia="宋体" w:cs="宋体"/>
      <w:sz w:val="20"/>
      <w:szCs w:val="20"/>
      <w:u w:val="none"/>
      <w:shd w:val="clear" w:color="auto" w:fill="auto"/>
      <w:lang w:val="zh-TW" w:eastAsia="zh-TW" w:bidi="zh-TW"/>
    </w:rPr>
  </w:style>
  <w:style w:type="paragraph" w:customStyle="1" w:styleId="48">
    <w:name w:val="Other|2"/>
    <w:basedOn w:val="1"/>
    <w:link w:val="47"/>
    <w:qFormat/>
    <w:uiPriority w:val="0"/>
    <w:pPr>
      <w:jc w:val="center"/>
    </w:pPr>
    <w:rPr>
      <w:rFonts w:ascii="宋体" w:hAnsi="宋体" w:eastAsia="宋体" w:cs="宋体"/>
      <w:sz w:val="20"/>
      <w:szCs w:val="20"/>
      <w:lang w:val="zh-TW" w:eastAsia="zh-TW" w:bidi="zh-TW"/>
    </w:rPr>
  </w:style>
  <w:style w:type="character" w:customStyle="1" w:styleId="49">
    <w:name w:val="批注文字 Char"/>
    <w:basedOn w:val="18"/>
    <w:link w:val="6"/>
    <w:semiHidden/>
    <w:qFormat/>
    <w:uiPriority w:val="99"/>
    <w:rPr>
      <w:rFonts w:eastAsia="Times New Roman"/>
      <w:color w:val="000000"/>
    </w:rPr>
  </w:style>
  <w:style w:type="character" w:customStyle="1" w:styleId="50">
    <w:name w:val="批注主题 Char"/>
    <w:basedOn w:val="49"/>
    <w:link w:val="15"/>
    <w:semiHidden/>
    <w:qFormat/>
    <w:uiPriority w:val="99"/>
    <w:rPr>
      <w:rFonts w:eastAsia="Times New Roman"/>
      <w:b/>
      <w:bCs/>
      <w:color w:val="000000"/>
    </w:rPr>
  </w:style>
  <w:style w:type="character" w:customStyle="1" w:styleId="51">
    <w:name w:val="批注框文本 Char"/>
    <w:basedOn w:val="18"/>
    <w:link w:val="9"/>
    <w:semiHidden/>
    <w:qFormat/>
    <w:uiPriority w:val="99"/>
    <w:rPr>
      <w:rFonts w:eastAsia="Times New Roman"/>
      <w:color w:val="000000"/>
      <w:sz w:val="18"/>
      <w:szCs w:val="18"/>
    </w:rPr>
  </w:style>
  <w:style w:type="character" w:customStyle="1" w:styleId="52">
    <w:name w:val="页眉 Char"/>
    <w:basedOn w:val="18"/>
    <w:link w:val="11"/>
    <w:qFormat/>
    <w:uiPriority w:val="99"/>
    <w:rPr>
      <w:rFonts w:eastAsia="Times New Roman"/>
      <w:color w:val="000000"/>
      <w:sz w:val="18"/>
      <w:szCs w:val="18"/>
    </w:rPr>
  </w:style>
  <w:style w:type="character" w:customStyle="1" w:styleId="53">
    <w:name w:val="页脚 Char"/>
    <w:basedOn w:val="18"/>
    <w:link w:val="10"/>
    <w:qFormat/>
    <w:uiPriority w:val="99"/>
    <w:rPr>
      <w:rFonts w:eastAsia="Times New Roman"/>
      <w:color w:val="000000"/>
      <w:sz w:val="18"/>
      <w:szCs w:val="18"/>
    </w:rPr>
  </w:style>
  <w:style w:type="character" w:customStyle="1" w:styleId="54">
    <w:name w:val="标题 1 Char"/>
    <w:basedOn w:val="18"/>
    <w:link w:val="2"/>
    <w:qFormat/>
    <w:uiPriority w:val="0"/>
    <w:rPr>
      <w:rFonts w:ascii="宋体" w:hAnsi="宋体" w:eastAsia="宋体" w:cs="宋体"/>
      <w:b/>
      <w:bCs/>
      <w:kern w:val="44"/>
      <w:sz w:val="44"/>
      <w:szCs w:val="44"/>
      <w:lang w:eastAsia="zh-CN" w:bidi="ar-SA"/>
    </w:rPr>
  </w:style>
  <w:style w:type="character" w:customStyle="1" w:styleId="55">
    <w:name w:val="日期 Char"/>
    <w:basedOn w:val="18"/>
    <w:link w:val="8"/>
    <w:semiHidden/>
    <w:qFormat/>
    <w:uiPriority w:val="99"/>
    <w:rPr>
      <w:rFonts w:eastAsia="Times New Roman"/>
      <w:color w:val="000000"/>
    </w:rPr>
  </w:style>
  <w:style w:type="character" w:customStyle="1" w:styleId="56">
    <w:name w:val="标题 2 Char"/>
    <w:basedOn w:val="18"/>
    <w:link w:val="3"/>
    <w:qFormat/>
    <w:uiPriority w:val="9"/>
    <w:rPr>
      <w:rFonts w:asciiTheme="majorHAnsi" w:hAnsiTheme="majorHAnsi" w:eastAsiaTheme="majorEastAsia" w:cstheme="majorBidi"/>
      <w:b/>
      <w:bCs/>
      <w:color w:val="000000"/>
      <w:sz w:val="32"/>
      <w:szCs w:val="32"/>
    </w:rPr>
  </w:style>
  <w:style w:type="paragraph" w:customStyle="1" w:styleId="57">
    <w:name w:val="TOC 标题1"/>
    <w:basedOn w:val="2"/>
    <w:next w:val="1"/>
    <w:semiHidden/>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font11"/>
    <w:basedOn w:val="18"/>
    <w:qFormat/>
    <w:uiPriority w:val="0"/>
    <w:rPr>
      <w:rFonts w:hint="default" w:ascii="Times New Roman" w:hAnsi="Times New Roman" w:cs="Times New Roman"/>
      <w:color w:val="000000"/>
      <w:sz w:val="20"/>
      <w:szCs w:val="20"/>
      <w:u w:val="none"/>
    </w:rPr>
  </w:style>
  <w:style w:type="character" w:customStyle="1" w:styleId="59">
    <w:name w:val="font41"/>
    <w:basedOn w:val="18"/>
    <w:qFormat/>
    <w:uiPriority w:val="0"/>
    <w:rPr>
      <w:rFonts w:hint="eastAsia" w:ascii="宋体" w:hAnsi="宋体" w:eastAsia="宋体" w:cs="宋体"/>
      <w:color w:val="000000"/>
      <w:sz w:val="20"/>
      <w:szCs w:val="20"/>
      <w:u w:val="none"/>
    </w:rPr>
  </w:style>
  <w:style w:type="paragraph" w:customStyle="1" w:styleId="60">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21"/>
    <w:basedOn w:val="18"/>
    <w:qFormat/>
    <w:uiPriority w:val="0"/>
    <w:rPr>
      <w:rFonts w:hint="eastAsia" w:ascii="宋体" w:hAnsi="宋体" w:eastAsia="宋体" w:cs="宋体"/>
      <w:color w:val="000000"/>
      <w:sz w:val="22"/>
      <w:szCs w:val="22"/>
      <w:u w:val="none"/>
    </w:rPr>
  </w:style>
  <w:style w:type="character" w:customStyle="1" w:styleId="63">
    <w:name w:val="font71"/>
    <w:basedOn w:val="18"/>
    <w:qFormat/>
    <w:uiPriority w:val="0"/>
    <w:rPr>
      <w:rFonts w:ascii="Arial" w:hAnsi="Arial" w:cs="Arial"/>
      <w:color w:val="0000FF"/>
      <w:sz w:val="22"/>
      <w:szCs w:val="22"/>
      <w:u w:val="none"/>
    </w:rPr>
  </w:style>
  <w:style w:type="character" w:customStyle="1" w:styleId="64">
    <w:name w:val="font51"/>
    <w:basedOn w:val="18"/>
    <w:qFormat/>
    <w:uiPriority w:val="0"/>
    <w:rPr>
      <w:rFonts w:hint="eastAsia" w:ascii="宋体" w:hAnsi="宋体" w:eastAsia="宋体" w:cs="宋体"/>
      <w:color w:val="0000FF"/>
      <w:sz w:val="22"/>
      <w:szCs w:val="22"/>
      <w:u w:val="none"/>
    </w:rPr>
  </w:style>
  <w:style w:type="character" w:customStyle="1" w:styleId="65">
    <w:name w:val="font3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13060</Words>
  <Characters>14546</Characters>
  <Lines>163</Lines>
  <Paragraphs>45</Paragraphs>
  <TotalTime>2</TotalTime>
  <ScaleCrop>false</ScaleCrop>
  <LinksUpToDate>false</LinksUpToDate>
  <CharactersWithSpaces>15092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2021-03-03T18:56:00Z</dcterms:created>
  <dc:creator>JIAN</dc:creator>
  <cp:lastModifiedBy>Administrator</cp:lastModifiedBy>
  <cp:lastPrinted>2021-06-07T22:59:00Z</cp:lastPrinted>
  <dcterms:modified xsi:type="dcterms:W3CDTF">2025-02-25T01:20:33Z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9470C3447F614CB9B659A38E836C95EF_13</vt:lpwstr>
  </property>
</Properties>
</file>