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rPr>
      </w:pPr>
      <w:bookmarkStart w:id="0" w:name="_GoBack"/>
      <w:bookmarkEnd w:id="0"/>
      <w:r>
        <w:rPr>
          <w:rFonts w:hint="default" w:ascii="Times New Roman" w:hAnsi="Times New Roman" w:eastAsia="方正小标宋简体" w:cs="Times New Roman"/>
          <w:sz w:val="44"/>
          <w:lang w:eastAsia="zh-CN"/>
        </w:rPr>
        <w:t>《</w:t>
      </w:r>
      <w:r>
        <w:rPr>
          <w:rFonts w:hint="default" w:ascii="Times New Roman" w:hAnsi="Times New Roman" w:eastAsia="方正小标宋简体" w:cs="Times New Roman"/>
          <w:sz w:val="44"/>
        </w:rPr>
        <w:t>武汉市预拌混凝土厂站智能化技术导则</w:t>
      </w:r>
      <w:r>
        <w:rPr>
          <w:rFonts w:hint="default" w:ascii="Times New Roman" w:hAnsi="Times New Roman" w:eastAsia="方正小标宋简体" w:cs="Times New Roman"/>
          <w:sz w:val="44"/>
          <w:lang w:eastAsia="zh-CN"/>
        </w:rPr>
        <w:t>》</w:t>
      </w:r>
      <w:r>
        <w:rPr>
          <w:rFonts w:hint="default" w:ascii="Times New Roman" w:hAnsi="Times New Roman" w:eastAsia="方正小标宋简体" w:cs="Times New Roman"/>
          <w:sz w:val="44"/>
        </w:rPr>
        <w:t>编制说明</w:t>
      </w:r>
    </w:p>
    <w:p>
      <w:pPr>
        <w:jc w:val="center"/>
        <w:rPr>
          <w:rFonts w:hint="default" w:ascii="Times New Roman" w:hAnsi="Times New Roman" w:eastAsia="黑体" w:cs="Times New Roman"/>
          <w:sz w:val="18"/>
          <w:szCs w:val="18"/>
        </w:rPr>
      </w:pPr>
    </w:p>
    <w:p>
      <w:pPr>
        <w:wordWrap w:val="0"/>
        <w:jc w:val="right"/>
        <w:rPr>
          <w:rFonts w:hint="default" w:ascii="Times New Roman" w:hAnsi="Times New Roman" w:cs="Times New Roman"/>
          <w:sz w:val="24"/>
        </w:rPr>
      </w:pPr>
      <w:r>
        <w:rPr>
          <w:rFonts w:hint="default" w:ascii="Times New Roman" w:hAnsi="Times New Roman" w:cs="Times New Roman"/>
          <w:sz w:val="24"/>
        </w:rPr>
        <w:t xml:space="preserve"> </w:t>
      </w:r>
      <w:r>
        <w:rPr>
          <w:rFonts w:hint="eastAsia" w:cs="Times New Roman"/>
          <w:sz w:val="24"/>
          <w:lang w:val="en-US" w:eastAsia="zh-CN"/>
        </w:rPr>
        <w:t>2025</w:t>
      </w:r>
      <w:r>
        <w:rPr>
          <w:rFonts w:hint="default" w:ascii="Times New Roman" w:hAnsi="Times New Roman" w:cs="Times New Roman"/>
          <w:sz w:val="24"/>
        </w:rPr>
        <w:t>年</w:t>
      </w:r>
      <w:r>
        <w:rPr>
          <w:rFonts w:hint="eastAsia" w:cs="Times New Roman"/>
          <w:sz w:val="24"/>
          <w:lang w:val="en-US" w:eastAsia="zh-CN"/>
        </w:rPr>
        <w:t>2</w:t>
      </w:r>
      <w:r>
        <w:rPr>
          <w:rFonts w:hint="default" w:ascii="Times New Roman" w:hAnsi="Times New Roman" w:cs="Times New Roman"/>
          <w:sz w:val="24"/>
        </w:rPr>
        <w:t>月</w:t>
      </w:r>
      <w:r>
        <w:rPr>
          <w:rFonts w:hint="eastAsia" w:cs="Times New Roman"/>
          <w:sz w:val="24"/>
          <w:lang w:val="en-US" w:eastAsia="zh-CN"/>
        </w:rPr>
        <w:t>20</w:t>
      </w:r>
      <w:r>
        <w:rPr>
          <w:rFonts w:hint="default" w:ascii="Times New Roman" w:hAnsi="Times New Roman" w:cs="Times New Roman"/>
          <w:sz w:val="24"/>
        </w:rPr>
        <w:t xml:space="preserve"> 日</w:t>
      </w:r>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44"/>
        <w:gridCol w:w="976"/>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800" w:type="dxa"/>
            <w:vAlign w:val="center"/>
          </w:tcPr>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标准名称</w:t>
            </w:r>
          </w:p>
        </w:tc>
        <w:tc>
          <w:tcPr>
            <w:tcW w:w="2544" w:type="dxa"/>
            <w:vAlign w:val="center"/>
          </w:tcPr>
          <w:p>
            <w:pPr>
              <w:rPr>
                <w:rFonts w:hint="default" w:ascii="Times New Roman" w:hAnsi="Times New Roman" w:cs="Times New Roman"/>
                <w:sz w:val="24"/>
              </w:rPr>
            </w:pPr>
            <w:r>
              <w:rPr>
                <w:rFonts w:hint="default" w:ascii="Times New Roman" w:hAnsi="Times New Roman" w:cs="Times New Roman"/>
                <w:sz w:val="21"/>
                <w:szCs w:val="21"/>
              </w:rPr>
              <w:t>《武汉市预拌混凝土厂站智能化技术导则》</w:t>
            </w:r>
          </w:p>
        </w:tc>
        <w:tc>
          <w:tcPr>
            <w:tcW w:w="976" w:type="dxa"/>
            <w:vAlign w:val="center"/>
          </w:tcPr>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起草</w:t>
            </w:r>
          </w:p>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单位</w:t>
            </w:r>
          </w:p>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w:t>
            </w:r>
            <w:r>
              <w:rPr>
                <w:rFonts w:hint="default" w:ascii="Times New Roman" w:hAnsi="Times New Roman" w:cs="Times New Roman"/>
                <w:szCs w:val="21"/>
              </w:rPr>
              <w:t>盖章</w:t>
            </w:r>
            <w:r>
              <w:rPr>
                <w:rFonts w:hint="default" w:ascii="Times New Roman" w:hAnsi="Times New Roman" w:eastAsia="黑体" w:cs="Times New Roman"/>
                <w:szCs w:val="21"/>
              </w:rPr>
              <w:t>）</w:t>
            </w:r>
          </w:p>
        </w:tc>
        <w:tc>
          <w:tcPr>
            <w:tcW w:w="3500" w:type="dxa"/>
            <w:vAlign w:val="center"/>
          </w:tcPr>
          <w:p>
            <w:pPr>
              <w:rPr>
                <w:rFonts w:hint="default" w:ascii="Times New Roman" w:hAnsi="Times New Roman" w:cs="Times New Roman"/>
                <w:sz w:val="21"/>
                <w:szCs w:val="32"/>
                <w:lang w:eastAsia="zh-CN"/>
              </w:rPr>
            </w:pPr>
            <w:r>
              <w:rPr>
                <w:rFonts w:hint="default" w:ascii="Times New Roman" w:hAnsi="Times New Roman" w:cs="Times New Roman"/>
                <w:sz w:val="21"/>
                <w:szCs w:val="32"/>
                <w:lang w:eastAsia="zh-CN"/>
              </w:rPr>
              <w:t>武汉市绿色建筑发展促进中心</w:t>
            </w:r>
          </w:p>
          <w:p>
            <w:pPr>
              <w:rPr>
                <w:rFonts w:hint="default" w:ascii="Times New Roman" w:hAnsi="Times New Roman" w:cs="Times New Roman"/>
                <w:sz w:val="21"/>
                <w:szCs w:val="32"/>
                <w:lang w:eastAsia="zh-CN"/>
              </w:rPr>
            </w:pPr>
            <w:r>
              <w:rPr>
                <w:rFonts w:hint="default" w:ascii="Times New Roman" w:hAnsi="Times New Roman" w:cs="Times New Roman"/>
                <w:sz w:val="21"/>
                <w:szCs w:val="32"/>
                <w:lang w:eastAsia="zh-CN"/>
              </w:rPr>
              <w:t>中建商品混凝土有限公司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800" w:type="dxa"/>
            <w:vAlign w:val="center"/>
          </w:tcPr>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主要起草人</w:t>
            </w:r>
          </w:p>
        </w:tc>
        <w:tc>
          <w:tcPr>
            <w:tcW w:w="2544" w:type="dxa"/>
            <w:vAlign w:val="center"/>
          </w:tcPr>
          <w:p>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肖孟</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李辉</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陈宪清</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赵日煦</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杜莉莉</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杨旭辉</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李兴</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陈雁</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瞿诗曜</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刘宪红</w:t>
            </w:r>
            <w:r>
              <w:rPr>
                <w:rFonts w:hint="eastAsia" w:ascii="Times New Roman" w:hAnsi="Times New Roman" w:cs="Times New Roman"/>
                <w:sz w:val="24"/>
                <w:lang w:val="en-US" w:eastAsia="zh-CN"/>
              </w:rPr>
              <w:t>、</w:t>
            </w:r>
            <w:r>
              <w:rPr>
                <w:rFonts w:hint="default" w:ascii="Times New Roman" w:hAnsi="Times New Roman" w:eastAsia="宋体" w:cs="Times New Roman"/>
                <w:sz w:val="24"/>
                <w:lang w:val="en-US" w:eastAsia="zh-CN"/>
              </w:rPr>
              <w:t>陈林</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韩栩仟</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徐智东</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张念梅</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唐娟娟</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张帆</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刘研奇</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钱继红</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刘倩</w:t>
            </w:r>
            <w:r>
              <w:rPr>
                <w:rFonts w:hint="default" w:ascii="Times New Roman" w:hAnsi="Times New Roman" w:cs="Times New Roman"/>
                <w:sz w:val="24"/>
                <w:lang w:val="en-US" w:eastAsia="zh-CN"/>
              </w:rPr>
              <w:t>、</w:t>
            </w:r>
            <w:r>
              <w:rPr>
                <w:rFonts w:hint="default" w:ascii="Times New Roman" w:hAnsi="Times New Roman" w:eastAsia="宋体" w:cs="Times New Roman"/>
                <w:sz w:val="24"/>
                <w:lang w:val="en-US" w:eastAsia="zh-CN"/>
              </w:rPr>
              <w:t>周改红</w:t>
            </w:r>
          </w:p>
        </w:tc>
        <w:tc>
          <w:tcPr>
            <w:tcW w:w="976" w:type="dxa"/>
            <w:vAlign w:val="center"/>
          </w:tcPr>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参与</w:t>
            </w:r>
          </w:p>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起草</w:t>
            </w:r>
          </w:p>
          <w:p>
            <w:pPr>
              <w:jc w:val="distribute"/>
              <w:rPr>
                <w:rFonts w:hint="default" w:ascii="Times New Roman" w:hAnsi="Times New Roman" w:eastAsia="黑体" w:cs="Times New Roman"/>
                <w:sz w:val="24"/>
              </w:rPr>
            </w:pPr>
            <w:r>
              <w:rPr>
                <w:rFonts w:hint="default" w:ascii="Times New Roman" w:hAnsi="Times New Roman" w:eastAsia="黑体" w:cs="Times New Roman"/>
                <w:sz w:val="24"/>
              </w:rPr>
              <w:t>单位</w:t>
            </w:r>
          </w:p>
        </w:tc>
        <w:tc>
          <w:tcPr>
            <w:tcW w:w="3500" w:type="dxa"/>
            <w:vAlign w:val="center"/>
          </w:tcPr>
          <w:p>
            <w:pP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3" w:hRule="atLeast"/>
          <w:jc w:val="center"/>
        </w:trPr>
        <w:tc>
          <w:tcPr>
            <w:tcW w:w="8820" w:type="dxa"/>
            <w:gridSpan w:val="4"/>
            <w:vAlign w:val="top"/>
          </w:tcPr>
          <w:p>
            <w:pPr>
              <w:numPr>
                <w:ilvl w:val="0"/>
                <w:numId w:val="0"/>
              </w:numPr>
              <w:spacing w:before="312" w:beforeLines="100" w:after="156" w:afterLines="50"/>
              <w:rPr>
                <w:rFonts w:hint="default" w:ascii="Times New Roman" w:hAnsi="Times New Roman" w:eastAsia="黑体" w:cs="Times New Roman"/>
                <w:b/>
                <w:bCs/>
                <w:sz w:val="24"/>
              </w:rPr>
            </w:pPr>
            <w:r>
              <w:rPr>
                <w:rFonts w:hint="default" w:ascii="Times New Roman" w:hAnsi="Times New Roman" w:eastAsia="黑体" w:cs="Times New Roman"/>
                <w:b/>
                <w:bCs/>
                <w:sz w:val="24"/>
                <w:lang w:eastAsia="zh-CN"/>
              </w:rPr>
              <w:t>一、</w:t>
            </w:r>
            <w:r>
              <w:rPr>
                <w:rFonts w:hint="default" w:ascii="Times New Roman" w:hAnsi="Times New Roman" w:eastAsia="黑体" w:cs="Times New Roman"/>
                <w:b/>
                <w:bCs/>
                <w:sz w:val="24"/>
              </w:rPr>
              <w:t>行业现状及编制或修订目的</w:t>
            </w:r>
          </w:p>
          <w:p>
            <w:pPr>
              <w:numPr>
                <w:ilvl w:val="0"/>
                <w:numId w:val="0"/>
              </w:numPr>
              <w:spacing w:line="400" w:lineRule="exact"/>
              <w:rPr>
                <w:rFonts w:hint="default" w:ascii="Times New Roman" w:hAnsi="Times New Roman" w:cs="Times New Roman"/>
                <w:b/>
                <w:bCs/>
                <w:sz w:val="24"/>
              </w:rPr>
            </w:pPr>
            <w:r>
              <w:rPr>
                <w:rFonts w:hint="default" w:ascii="Times New Roman" w:hAnsi="Times New Roman" w:cs="Times New Roman"/>
                <w:b/>
                <w:bCs/>
                <w:sz w:val="24"/>
                <w:lang w:val="en-US" w:eastAsia="zh-CN"/>
              </w:rPr>
              <w:t>1、</w:t>
            </w:r>
            <w:r>
              <w:rPr>
                <w:rFonts w:hint="default" w:ascii="Times New Roman" w:hAnsi="Times New Roman" w:cs="Times New Roman"/>
                <w:b/>
                <w:bCs/>
                <w:sz w:val="24"/>
                <w:lang w:eastAsia="zh-CN"/>
              </w:rPr>
              <w:t>行业</w:t>
            </w:r>
            <w:r>
              <w:rPr>
                <w:rFonts w:hint="default" w:ascii="Times New Roman" w:hAnsi="Times New Roman" w:cs="Times New Roman"/>
                <w:b/>
                <w:bCs/>
                <w:sz w:val="24"/>
              </w:rPr>
              <w:t>现状</w:t>
            </w:r>
          </w:p>
          <w:p>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2021年底工信部等八部门联合发布了《“十四五”智能制造发展规划》，提出到2025年，70%的规模以上制造业企业基本实现数字化网络化，重点行业骨干企业初步应用智能化。2021年政府工作报告在十四五规划目标任务概述中，针对制造业提出“协同推进数字产业化和产业数字化转型，营造良好数字生态”的目标任务。2023年武汉市智能建造试点城市建设领导小组办公室印发《武汉市2023年智能建造试点城市推进工作要点》，工作要点中明确指出要打造智能工厂，推动生产企业向数字化、智能化转型，推进生产过程数字化、智能化、工业化，打造生产数据的日跟踪与数字化管理平台，推动生产现场数据自动上传和可视化管理。“智慧工厂”、“六零工厂”等概念的提出也标志着预拌混凝土企业智能化发展已成为当前发展的必然趋势。</w:t>
            </w:r>
          </w:p>
          <w:p>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现阶段，武汉市搅拌站的智能化建设大多都停留于简单的数字化建设，并且建设方式通常为购买搅拌站管理软件或定制开发ERP。除此之外，部分预拌混凝土企业的智能化应用场景较为零散和单一，各环节的智能化系统并不能很好地集成起来，无法实现行业内的通用化和标准化，并且存在数据管理不规范、智能设备联通布局差、系统开发和维护困难等问题。</w:t>
            </w:r>
          </w:p>
          <w:p>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在市场及国家政策推动下，武汉市预拌混凝土行业规模持续扩大，智能化技术水平和管理水平快速提升。预拌混凝土产业智能化转型既是抓住新一轮科技革命和产业变革浪潮的要求，也是深化供给侧结构性改革、夯实发展基础的需要。因此开展武汉市预拌混凝土智能化厂站研究尤为重要。</w:t>
            </w:r>
          </w:p>
          <w:p>
            <w:pPr>
              <w:numPr>
                <w:ilvl w:val="0"/>
                <w:numId w:val="0"/>
              </w:numPr>
              <w:spacing w:line="400" w:lineRule="exact"/>
              <w:rPr>
                <w:rFonts w:hint="default" w:ascii="Times New Roman" w:hAnsi="Times New Roman" w:cs="Times New Roman"/>
                <w:b/>
                <w:bCs/>
                <w:sz w:val="24"/>
              </w:rPr>
            </w:pPr>
            <w:r>
              <w:rPr>
                <w:rFonts w:hint="default" w:ascii="Times New Roman" w:hAnsi="Times New Roman" w:cs="Times New Roman"/>
                <w:b/>
                <w:bCs/>
                <w:sz w:val="24"/>
                <w:lang w:val="en-US" w:eastAsia="zh-CN"/>
              </w:rPr>
              <w:t>2、</w:t>
            </w:r>
            <w:r>
              <w:rPr>
                <w:rFonts w:hint="default" w:ascii="Times New Roman" w:hAnsi="Times New Roman" w:cs="Times New Roman"/>
                <w:b/>
                <w:bCs/>
                <w:sz w:val="24"/>
                <w:lang w:eastAsia="zh-CN"/>
              </w:rPr>
              <w:t>编制目的</w:t>
            </w:r>
          </w:p>
          <w:p>
            <w:pPr>
              <w:numPr>
                <w:ilvl w:val="0"/>
                <w:numId w:val="0"/>
              </w:num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通过经验总结、理论与试验、考察与自主的研发的结合，结合武汉市预拌混凝土企业智能化发展现状，形成适合武汉市实际情况的《武汉市预拌混凝土智能化厂站技术导则》，</w:t>
            </w:r>
            <w:r>
              <w:rPr>
                <w:rFonts w:hint="default" w:ascii="Times New Roman" w:hAnsi="Times New Roman" w:cs="Times New Roman"/>
                <w:sz w:val="24"/>
              </w:rPr>
              <w:t>推进武汉市预拌混凝土企业数字化转型、智能化升级，提高混凝土生产自动化程度和生产效率，降低工人劳动强度和劳动力成本，实现对生产过程的精准把控和品质控制，指导武汉市搅拌站智能化管理提档升级。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820" w:type="dxa"/>
            <w:gridSpan w:val="4"/>
            <w:vAlign w:val="top"/>
          </w:tcPr>
          <w:p>
            <w:pPr>
              <w:numPr>
                <w:ilvl w:val="0"/>
                <w:numId w:val="0"/>
              </w:numPr>
              <w:spacing w:before="312" w:beforeLines="100" w:after="156" w:afterLines="50" w:line="400" w:lineRule="exact"/>
              <w:ind w:leftChars="0"/>
              <w:rPr>
                <w:rFonts w:hint="default" w:ascii="Times New Roman" w:hAnsi="Times New Roman" w:eastAsia="黑体" w:cs="Times New Roman"/>
                <w:b/>
                <w:bCs/>
                <w:sz w:val="24"/>
              </w:rPr>
            </w:pPr>
            <w:r>
              <w:rPr>
                <w:rFonts w:hint="default" w:ascii="Times New Roman" w:hAnsi="Times New Roman" w:eastAsia="黑体" w:cs="Times New Roman"/>
                <w:b/>
                <w:bCs/>
                <w:sz w:val="24"/>
                <w:lang w:eastAsia="zh-CN"/>
              </w:rPr>
              <w:t>二、</w:t>
            </w:r>
            <w:r>
              <w:rPr>
                <w:rFonts w:hint="default" w:ascii="Times New Roman" w:hAnsi="Times New Roman" w:eastAsia="黑体" w:cs="Times New Roman"/>
                <w:b/>
                <w:bCs/>
                <w:sz w:val="24"/>
              </w:rPr>
              <w:t>确定标准的主要内容或技术指标、参数、公式、性能要求、试验方法等依据和理由</w:t>
            </w:r>
          </w:p>
          <w:p>
            <w:pPr>
              <w:numPr>
                <w:ilvl w:val="0"/>
                <w:numId w:val="0"/>
              </w:numPr>
              <w:spacing w:line="400" w:lineRule="exact"/>
              <w:rPr>
                <w:rFonts w:hint="default" w:ascii="Times New Roman" w:hAnsi="Times New Roman" w:eastAsia="宋体" w:cs="Times New Roman"/>
                <w:b/>
                <w:bCs/>
                <w:sz w:val="24"/>
                <w:lang w:eastAsia="zh-CN"/>
              </w:rPr>
            </w:pPr>
            <w:r>
              <w:rPr>
                <w:rFonts w:hint="default" w:ascii="Times New Roman" w:hAnsi="Times New Roman" w:cs="Times New Roman"/>
                <w:b/>
                <w:bCs/>
                <w:sz w:val="24"/>
                <w:lang w:val="en-US" w:eastAsia="zh-CN"/>
              </w:rPr>
              <w:t>1、</w:t>
            </w:r>
            <w:r>
              <w:rPr>
                <w:rFonts w:hint="default" w:ascii="Times New Roman" w:hAnsi="Times New Roman" w:eastAsia="宋体" w:cs="Times New Roman"/>
                <w:b/>
                <w:bCs/>
                <w:sz w:val="24"/>
                <w:lang w:eastAsia="zh-CN"/>
              </w:rPr>
              <w:t>编制依据</w:t>
            </w:r>
          </w:p>
          <w:p>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w:t>
            </w:r>
            <w:r>
              <w:rPr>
                <w:rFonts w:hint="default" w:ascii="Times New Roman" w:hAnsi="Times New Roman"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国家行业地方标准：</w:t>
            </w:r>
          </w:p>
          <w:p>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（1）《智能制造能力成熟度模型》GB/T39116-2020</w:t>
            </w:r>
            <w:r>
              <w:rPr>
                <w:rFonts w:hint="default" w:ascii="Times New Roman" w:hAnsi="Times New Roman" w:cs="Times New Roman"/>
                <w:b w:val="0"/>
                <w:bCs w:val="0"/>
                <w:sz w:val="24"/>
                <w:szCs w:val="24"/>
                <w:lang w:val="en-US" w:eastAsia="zh-CN"/>
              </w:rPr>
              <w:t>；</w:t>
            </w:r>
          </w:p>
          <w:p>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（2）《智能制造能力成熟度评估方法》GB/T39117-2020</w:t>
            </w:r>
            <w:r>
              <w:rPr>
                <w:rFonts w:hint="default" w:ascii="Times New Roman" w:hAnsi="Times New Roman" w:cs="Times New Roman"/>
                <w:b w:val="0"/>
                <w:bCs w:val="0"/>
                <w:sz w:val="24"/>
                <w:szCs w:val="24"/>
                <w:lang w:val="en-US" w:eastAsia="zh-CN"/>
              </w:rPr>
              <w:t>；</w:t>
            </w:r>
          </w:p>
          <w:p>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（3）《预拌混凝土标准化生产管理规程》DB42T1948-2023。</w:t>
            </w:r>
          </w:p>
          <w:p>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2）</w:t>
            </w:r>
            <w:r>
              <w:rPr>
                <w:rFonts w:hint="default" w:ascii="Times New Roman" w:hAnsi="Times New Roman" w:eastAsia="宋体" w:cs="Times New Roman"/>
                <w:b w:val="0"/>
                <w:bCs w:val="0"/>
                <w:sz w:val="24"/>
                <w:szCs w:val="24"/>
                <w:lang w:val="en-US" w:eastAsia="zh-CN"/>
              </w:rPr>
              <w:t>参考依据：</w:t>
            </w:r>
          </w:p>
          <w:p>
            <w:pPr>
              <w:numPr>
                <w:ilvl w:val="0"/>
                <w:numId w:val="0"/>
              </w:numPr>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（1）《预拌混凝土智能厂站评价要求》T/CBMF 89—2020。</w:t>
            </w:r>
          </w:p>
          <w:p>
            <w:pPr>
              <w:numPr>
                <w:ilvl w:val="0"/>
                <w:numId w:val="0"/>
              </w:numPr>
              <w:spacing w:line="400" w:lineRule="exact"/>
              <w:rPr>
                <w:rFonts w:hint="default" w:ascii="Times New Roman" w:hAnsi="Times New Roman" w:eastAsia="宋体" w:cs="Times New Roman"/>
                <w:b/>
                <w:bCs/>
                <w:sz w:val="24"/>
                <w:lang w:eastAsia="zh-CN"/>
              </w:rPr>
            </w:pPr>
            <w:r>
              <w:rPr>
                <w:rFonts w:hint="default" w:ascii="Times New Roman" w:hAnsi="Times New Roman" w:cs="Times New Roman"/>
                <w:b/>
                <w:bCs/>
                <w:sz w:val="24"/>
                <w:lang w:val="en-US" w:eastAsia="zh-CN"/>
              </w:rPr>
              <w:t>2、</w:t>
            </w:r>
            <w:r>
              <w:rPr>
                <w:rFonts w:hint="default" w:ascii="Times New Roman" w:hAnsi="Times New Roman" w:eastAsia="宋体" w:cs="Times New Roman"/>
                <w:b/>
                <w:bCs/>
                <w:sz w:val="24"/>
                <w:lang w:eastAsia="zh-CN"/>
              </w:rPr>
              <w:t>编制原则</w:t>
            </w:r>
          </w:p>
          <w:p>
            <w:pPr>
              <w:spacing w:afterLines="50" w:line="360" w:lineRule="auto"/>
              <w:ind w:firstLine="54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编制</w:t>
            </w:r>
            <w:r>
              <w:rPr>
                <w:rFonts w:hint="default" w:ascii="Times New Roman" w:hAnsi="Times New Roman" w:eastAsia="宋体" w:cs="Times New Roman"/>
                <w:sz w:val="24"/>
                <w:szCs w:val="24"/>
                <w:lang w:eastAsia="zh-CN"/>
              </w:rPr>
              <w:t>组</w:t>
            </w:r>
            <w:r>
              <w:rPr>
                <w:rFonts w:hint="default" w:ascii="Times New Roman" w:hAnsi="Times New Roman" w:eastAsia="宋体" w:cs="Times New Roman"/>
                <w:sz w:val="24"/>
                <w:szCs w:val="24"/>
              </w:rPr>
              <w:t>将贯彻落实</w:t>
            </w:r>
            <w:r>
              <w:rPr>
                <w:rFonts w:hint="default" w:ascii="Times New Roman" w:hAnsi="Times New Roman" w:eastAsia="宋体" w:cs="Times New Roman"/>
                <w:sz w:val="24"/>
                <w:szCs w:val="24"/>
                <w:lang w:eastAsia="zh-CN"/>
              </w:rPr>
              <w:t>武汉市政府关于</w:t>
            </w:r>
            <w:r>
              <w:rPr>
                <w:rFonts w:hint="default" w:ascii="Times New Roman" w:hAnsi="Times New Roman" w:cs="Times New Roman"/>
                <w:sz w:val="24"/>
                <w:szCs w:val="24"/>
                <w:lang w:val="en-US" w:eastAsia="zh-CN"/>
              </w:rPr>
              <w:t>智能化厂站建设</w:t>
            </w:r>
            <w:r>
              <w:rPr>
                <w:rFonts w:hint="default" w:ascii="Times New Roman" w:hAnsi="Times New Roman" w:eastAsia="宋体" w:cs="Times New Roman"/>
                <w:sz w:val="24"/>
                <w:szCs w:val="24"/>
                <w:lang w:eastAsia="zh-CN"/>
              </w:rPr>
              <w:t>方面的规定</w:t>
            </w:r>
            <w:r>
              <w:rPr>
                <w:rFonts w:hint="default" w:ascii="Times New Roman" w:hAnsi="Times New Roman" w:eastAsia="宋体" w:cs="Times New Roman"/>
                <w:sz w:val="24"/>
                <w:szCs w:val="24"/>
              </w:rPr>
              <w:t>，在符合</w:t>
            </w:r>
            <w:r>
              <w:rPr>
                <w:rFonts w:hint="default" w:ascii="Times New Roman" w:hAnsi="Times New Roman" w:cs="Times New Roman"/>
                <w:sz w:val="24"/>
                <w:szCs w:val="24"/>
                <w:lang w:eastAsia="zh-CN"/>
              </w:rPr>
              <w:t>法律法规</w:t>
            </w:r>
            <w:r>
              <w:rPr>
                <w:rFonts w:hint="default" w:ascii="Times New Roman" w:hAnsi="Times New Roman" w:eastAsia="宋体" w:cs="Times New Roman"/>
                <w:sz w:val="24"/>
                <w:szCs w:val="24"/>
              </w:rPr>
              <w:t>前提下，规范武汉</w:t>
            </w:r>
            <w:r>
              <w:rPr>
                <w:rFonts w:hint="default" w:ascii="Times New Roman" w:hAnsi="Times New Roman" w:eastAsia="宋体" w:cs="Times New Roman"/>
                <w:sz w:val="24"/>
                <w:szCs w:val="24"/>
                <w:lang w:eastAsia="zh-CN"/>
              </w:rPr>
              <w:t>市</w:t>
            </w:r>
            <w:r>
              <w:rPr>
                <w:rFonts w:hint="default" w:ascii="Times New Roman" w:hAnsi="Times New Roman" w:cs="Times New Roman"/>
                <w:sz w:val="24"/>
                <w:szCs w:val="24"/>
                <w:lang w:val="en-US" w:eastAsia="zh-CN"/>
              </w:rPr>
              <w:t>智能化厂站建设</w:t>
            </w:r>
            <w:r>
              <w:rPr>
                <w:rFonts w:hint="default" w:ascii="Times New Roman" w:hAnsi="Times New Roman" w:eastAsia="宋体" w:cs="Times New Roman"/>
                <w:sz w:val="24"/>
                <w:szCs w:val="24"/>
              </w:rPr>
              <w:t>。编制工作遵循以下原则：</w:t>
            </w:r>
          </w:p>
          <w:p>
            <w:pPr>
              <w:numPr>
                <w:ilvl w:val="0"/>
                <w:numId w:val="0"/>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1</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sz w:val="24"/>
                <w:szCs w:val="24"/>
              </w:rPr>
              <w:t>贯彻执行国家和湖北省、武汉市的有关</w:t>
            </w:r>
            <w:r>
              <w:rPr>
                <w:rFonts w:hint="default" w:ascii="Times New Roman" w:hAnsi="Times New Roman" w:cs="Times New Roman"/>
                <w:sz w:val="24"/>
                <w:szCs w:val="24"/>
                <w:lang w:eastAsia="zh-CN"/>
              </w:rPr>
              <w:t>法律法规</w:t>
            </w:r>
            <w:r>
              <w:rPr>
                <w:rFonts w:hint="default" w:ascii="Times New Roman" w:hAnsi="Times New Roman" w:eastAsia="宋体" w:cs="Times New Roman"/>
                <w:sz w:val="24"/>
                <w:szCs w:val="24"/>
              </w:rPr>
              <w:t>和方针政策</w:t>
            </w:r>
            <w:r>
              <w:rPr>
                <w:rFonts w:hint="default" w:ascii="Times New Roman" w:hAnsi="Times New Roman" w:eastAsia="宋体" w:cs="Times New Roman"/>
                <w:sz w:val="24"/>
                <w:szCs w:val="24"/>
                <w:lang w:eastAsia="zh-CN"/>
              </w:rPr>
              <w:t>；</w:t>
            </w:r>
          </w:p>
          <w:p>
            <w:pPr>
              <w:numPr>
                <w:ilvl w:val="0"/>
                <w:numId w:val="0"/>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cs="Times New Roman"/>
                <w:kern w:val="2"/>
                <w:sz w:val="24"/>
                <w:szCs w:val="24"/>
                <w:lang w:val="en-US" w:eastAsia="zh-CN" w:bidi="ar-SA"/>
              </w:rPr>
              <w:t>）</w:t>
            </w:r>
            <w:r>
              <w:rPr>
                <w:rFonts w:hint="default" w:ascii="Times New Roman" w:hAnsi="Times New Roman" w:eastAsia="宋体" w:cs="Times New Roman"/>
                <w:sz w:val="24"/>
                <w:szCs w:val="24"/>
              </w:rPr>
              <w:t>坚持科学性和实用性的原则，做到技术先进、经济合理、成果可靠</w:t>
            </w:r>
            <w:r>
              <w:rPr>
                <w:rFonts w:hint="default" w:ascii="Times New Roman" w:hAnsi="Times New Roman" w:eastAsia="宋体" w:cs="Times New Roman"/>
                <w:sz w:val="24"/>
                <w:szCs w:val="24"/>
                <w:lang w:eastAsia="zh-CN"/>
              </w:rPr>
              <w:t>；</w:t>
            </w:r>
          </w:p>
          <w:p>
            <w:pPr>
              <w:numPr>
                <w:ilvl w:val="0"/>
                <w:numId w:val="0"/>
              </w:numPr>
              <w:spacing w:line="360" w:lineRule="auto"/>
              <w:ind w:left="0" w:leftChars="0" w:firstLine="480" w:firstLineChars="200"/>
              <w:rPr>
                <w:rFonts w:hint="default" w:ascii="Times New Roman" w:hAnsi="Times New Roman" w:eastAsia="宋体" w:cs="Times New Roman"/>
                <w:sz w:val="24"/>
                <w:szCs w:val="24"/>
              </w:rPr>
            </w:pPr>
            <w:r>
              <w:rPr>
                <w:rFonts w:hint="default" w:ascii="Times New Roman" w:hAnsi="Times New Roman" w:cs="Times New Roman"/>
                <w:kern w:val="2"/>
                <w:sz w:val="24"/>
                <w:szCs w:val="24"/>
                <w:lang w:val="en-US" w:eastAsia="zh-CN" w:bidi="ar-SA"/>
              </w:rPr>
              <w:t>3）</w:t>
            </w:r>
            <w:r>
              <w:rPr>
                <w:rFonts w:hint="default" w:ascii="Times New Roman" w:hAnsi="Times New Roman" w:eastAsia="宋体" w:cs="Times New Roman"/>
                <w:sz w:val="24"/>
                <w:szCs w:val="24"/>
              </w:rPr>
              <w:t>梳理国家与行业有关标准，使其相协调一致，避免矛盾</w:t>
            </w:r>
            <w:r>
              <w:rPr>
                <w:rFonts w:hint="default" w:ascii="Times New Roman" w:hAnsi="Times New Roman" w:eastAsia="宋体" w:cs="Times New Roman"/>
                <w:sz w:val="24"/>
                <w:szCs w:val="24"/>
                <w:lang w:eastAsia="zh-CN"/>
              </w:rPr>
              <w:t>；</w:t>
            </w:r>
          </w:p>
          <w:p>
            <w:pPr>
              <w:numPr>
                <w:ilvl w:val="0"/>
                <w:numId w:val="0"/>
              </w:numPr>
              <w:spacing w:line="360" w:lineRule="auto"/>
              <w:ind w:left="0" w:leftChars="0" w:firstLine="480" w:firstLineChars="200"/>
              <w:rPr>
                <w:rFonts w:hint="default" w:ascii="Times New Roman" w:hAnsi="Times New Roman" w:cs="Times New Roman"/>
                <w:sz w:val="24"/>
                <w:szCs w:val="32"/>
              </w:rPr>
            </w:pPr>
            <w:r>
              <w:rPr>
                <w:rFonts w:hint="default" w:ascii="Times New Roman" w:hAnsi="Times New Roman" w:cs="Times New Roman"/>
                <w:kern w:val="2"/>
                <w:sz w:val="24"/>
                <w:szCs w:val="32"/>
                <w:lang w:val="en-US" w:eastAsia="zh-CN" w:bidi="ar-SA"/>
              </w:rPr>
              <w:t>4）</w:t>
            </w:r>
            <w:r>
              <w:rPr>
                <w:rFonts w:hint="default" w:ascii="Times New Roman" w:hAnsi="Times New Roman" w:eastAsia="宋体" w:cs="Times New Roman"/>
                <w:sz w:val="24"/>
                <w:szCs w:val="24"/>
              </w:rPr>
              <w:t>充分发扬民主，对有争议的技术性问题，应进行认真研究，协商解决。</w:t>
            </w:r>
            <w:r>
              <w:rPr>
                <w:rFonts w:hint="default" w:ascii="Times New Roman" w:hAnsi="Times New Roman" w:eastAsia="仿宋" w:cs="Times New Roman"/>
                <w:sz w:val="32"/>
                <w:szCs w:val="32"/>
                <w:lang w:val="en-US" w:eastAsia="zh-CN"/>
              </w:rPr>
              <w:t xml:space="preserve"> </w:t>
            </w:r>
          </w:p>
          <w:p>
            <w:pPr>
              <w:numPr>
                <w:ilvl w:val="0"/>
                <w:numId w:val="0"/>
              </w:numPr>
              <w:spacing w:line="400" w:lineRule="exact"/>
              <w:rPr>
                <w:rFonts w:hint="default" w:ascii="Times New Roman" w:hAnsi="Times New Roman" w:eastAsia="宋体" w:cs="Times New Roman"/>
                <w:b/>
                <w:bCs/>
                <w:sz w:val="24"/>
                <w:lang w:eastAsia="zh-CN"/>
              </w:rPr>
            </w:pPr>
            <w:r>
              <w:rPr>
                <w:rFonts w:hint="default" w:ascii="Times New Roman" w:hAnsi="Times New Roman" w:cs="Times New Roman"/>
                <w:b/>
                <w:bCs/>
                <w:sz w:val="24"/>
                <w:lang w:val="en-US" w:eastAsia="zh-CN"/>
              </w:rPr>
              <w:t>3、</w:t>
            </w:r>
            <w:r>
              <w:rPr>
                <w:rFonts w:hint="default" w:ascii="Times New Roman" w:hAnsi="Times New Roman" w:eastAsia="宋体" w:cs="Times New Roman"/>
                <w:b/>
                <w:bCs/>
                <w:sz w:val="24"/>
                <w:lang w:eastAsia="zh-CN"/>
              </w:rPr>
              <w:t>主要内容</w:t>
            </w:r>
          </w:p>
          <w:p>
            <w:pPr>
              <w:pStyle w:val="8"/>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导则的主要内容：1总则、2术语、3基本规定、4销售管理、5物资管理、6生产管理、7环境与安全、8质量管理、9财务及报表、10前沿技术、11分类评价。导则为适应武汉市行政区域内预拌混凝土企业在信息化水平上的差异性，参照《智能制造能力成熟度模型》对其智能化等级进行合理划分，并制定了相应的分级标准，旨在为企业提供明确的智能化建设和达标指导。章节</w:t>
            </w:r>
            <w:r>
              <w:rPr>
                <w:rFonts w:hint="default" w:ascii="Times New Roman" w:hAnsi="Times New Roman" w:cs="Times New Roman"/>
                <w:color w:val="auto"/>
                <w:sz w:val="24"/>
                <w:szCs w:val="24"/>
                <w:lang w:val="en-US" w:eastAsia="zh-CN"/>
              </w:rPr>
              <w:t>分布</w:t>
            </w:r>
            <w:r>
              <w:rPr>
                <w:rFonts w:hint="default" w:ascii="Times New Roman" w:hAnsi="Times New Roman" w:eastAsia="宋体" w:cs="Times New Roman"/>
                <w:color w:val="auto"/>
                <w:sz w:val="24"/>
                <w:szCs w:val="24"/>
                <w:lang w:val="en-US" w:eastAsia="zh-CN"/>
              </w:rPr>
              <w:t>如下：</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1 </w:t>
            </w:r>
            <w:r>
              <w:rPr>
                <w:rFonts w:hint="default" w:ascii="Times New Roman" w:hAnsi="Times New Roman" w:cs="Times New Roman"/>
                <w:color w:val="auto"/>
                <w:sz w:val="24"/>
                <w:szCs w:val="24"/>
                <w:lang w:val="en-US" w:eastAsia="zh-CN"/>
              </w:rPr>
              <w:t>总则</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2 </w:t>
            </w:r>
            <w:r>
              <w:rPr>
                <w:rFonts w:hint="default" w:ascii="Times New Roman" w:hAnsi="Times New Roman" w:cs="Times New Roman"/>
                <w:color w:val="auto"/>
                <w:sz w:val="24"/>
                <w:szCs w:val="24"/>
                <w:lang w:val="en-US" w:eastAsia="zh-CN"/>
              </w:rPr>
              <w:t>术语</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3 </w:t>
            </w:r>
            <w:r>
              <w:rPr>
                <w:rFonts w:hint="default" w:ascii="Times New Roman" w:hAnsi="Times New Roman" w:cs="Times New Roman"/>
                <w:color w:val="auto"/>
                <w:sz w:val="24"/>
                <w:szCs w:val="24"/>
                <w:lang w:val="en-US" w:eastAsia="zh-CN"/>
              </w:rPr>
              <w:t>基础规定</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4 </w:t>
            </w:r>
            <w:r>
              <w:rPr>
                <w:rFonts w:hint="default" w:ascii="Times New Roman" w:hAnsi="Times New Roman" w:cs="Times New Roman"/>
                <w:color w:val="auto"/>
                <w:sz w:val="24"/>
                <w:szCs w:val="24"/>
                <w:lang w:val="en-US" w:eastAsia="zh-CN"/>
              </w:rPr>
              <w:t>销售管理</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5 </w:t>
            </w:r>
            <w:r>
              <w:rPr>
                <w:rFonts w:hint="default" w:ascii="Times New Roman" w:hAnsi="Times New Roman" w:cs="Times New Roman"/>
                <w:color w:val="auto"/>
                <w:sz w:val="24"/>
                <w:szCs w:val="24"/>
                <w:lang w:val="en-US" w:eastAsia="zh-CN"/>
              </w:rPr>
              <w:t>物资管理</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6 </w:t>
            </w:r>
            <w:r>
              <w:rPr>
                <w:rFonts w:hint="default" w:ascii="Times New Roman" w:hAnsi="Times New Roman" w:cs="Times New Roman"/>
                <w:color w:val="auto"/>
                <w:sz w:val="24"/>
                <w:szCs w:val="24"/>
                <w:lang w:val="en-US" w:eastAsia="zh-CN"/>
              </w:rPr>
              <w:t>生产管理</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7 </w:t>
            </w:r>
            <w:r>
              <w:rPr>
                <w:rFonts w:hint="default" w:ascii="Times New Roman" w:hAnsi="Times New Roman" w:cs="Times New Roman"/>
                <w:color w:val="auto"/>
                <w:sz w:val="24"/>
                <w:szCs w:val="24"/>
                <w:lang w:val="en-US" w:eastAsia="zh-CN"/>
              </w:rPr>
              <w:t>环境管理</w:t>
            </w:r>
          </w:p>
          <w:p>
            <w:pPr>
              <w:pStyle w:val="8"/>
              <w:numPr>
                <w:ilvl w:val="0"/>
                <w:numId w:val="0"/>
              </w:numPr>
              <w:tabs>
                <w:tab w:val="left" w:pos="652"/>
              </w:tabs>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8 </w:t>
            </w:r>
            <w:r>
              <w:rPr>
                <w:rFonts w:hint="default" w:ascii="Times New Roman" w:hAnsi="Times New Roman" w:cs="Times New Roman"/>
                <w:color w:val="auto"/>
                <w:sz w:val="24"/>
                <w:szCs w:val="24"/>
                <w:lang w:val="en-US" w:eastAsia="zh-CN"/>
              </w:rPr>
              <w:t>质量管理</w:t>
            </w:r>
          </w:p>
          <w:p>
            <w:pPr>
              <w:pStyle w:val="8"/>
              <w:numPr>
                <w:ilvl w:val="0"/>
                <w:numId w:val="0"/>
              </w:numPr>
              <w:tabs>
                <w:tab w:val="left" w:pos="652"/>
              </w:tabs>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9 </w:t>
            </w:r>
            <w:r>
              <w:rPr>
                <w:rFonts w:hint="default" w:ascii="Times New Roman" w:hAnsi="Times New Roman" w:cs="Times New Roman"/>
                <w:color w:val="auto"/>
                <w:sz w:val="24"/>
                <w:szCs w:val="24"/>
                <w:lang w:val="en-US" w:eastAsia="zh-CN"/>
              </w:rPr>
              <w:t>财务及报表</w:t>
            </w:r>
          </w:p>
          <w:p>
            <w:pPr>
              <w:pStyle w:val="8"/>
              <w:numPr>
                <w:ilvl w:val="0"/>
                <w:numId w:val="0"/>
              </w:num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w:t>
            </w:r>
            <w:r>
              <w:rPr>
                <w:rFonts w:hint="default" w:ascii="Times New Roman" w:hAnsi="Times New Roman" w:cs="Times New Roman"/>
                <w:color w:val="auto"/>
                <w:sz w:val="24"/>
                <w:szCs w:val="24"/>
                <w:lang w:val="en-US" w:eastAsia="zh-CN"/>
              </w:rPr>
              <w:t>前沿技术</w:t>
            </w:r>
          </w:p>
          <w:p>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xml:space="preserve">11 </w:t>
            </w:r>
            <w:r>
              <w:rPr>
                <w:rFonts w:hint="default" w:ascii="Times New Roman" w:hAnsi="Times New Roman" w:cs="Times New Roman"/>
                <w:color w:val="auto"/>
                <w:sz w:val="24"/>
                <w:szCs w:val="24"/>
                <w:lang w:val="en-US" w:eastAsia="zh-CN"/>
              </w:rPr>
              <w:t>分类评价</w:t>
            </w:r>
          </w:p>
          <w:p>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附录A 《武汉市预拌混凝土厂站智能化技术导则》分级评价表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820" w:type="dxa"/>
            <w:gridSpan w:val="4"/>
            <w:vAlign w:val="top"/>
          </w:tcPr>
          <w:p>
            <w:pPr>
              <w:numPr>
                <w:ilvl w:val="0"/>
                <w:numId w:val="0"/>
              </w:numPr>
              <w:spacing w:line="400" w:lineRule="exact"/>
              <w:ind w:leftChars="0"/>
              <w:rPr>
                <w:rFonts w:hint="default" w:ascii="Times New Roman" w:hAnsi="Times New Roman" w:eastAsia="黑体" w:cs="Times New Roman"/>
                <w:b/>
                <w:bCs/>
                <w:sz w:val="24"/>
              </w:rPr>
            </w:pPr>
            <w:r>
              <w:rPr>
                <w:rFonts w:hint="default" w:ascii="Times New Roman" w:hAnsi="Times New Roman" w:eastAsia="黑体" w:cs="Times New Roman"/>
                <w:b/>
                <w:bCs/>
                <w:sz w:val="24"/>
                <w:lang w:eastAsia="zh-CN"/>
              </w:rPr>
              <w:t>三、</w:t>
            </w:r>
            <w:r>
              <w:rPr>
                <w:rFonts w:hint="default" w:ascii="Times New Roman" w:hAnsi="Times New Roman" w:eastAsia="黑体" w:cs="Times New Roman"/>
                <w:b/>
                <w:bCs/>
                <w:sz w:val="24"/>
              </w:rPr>
              <w:t>国内外标准水平对比分析</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经查阅相关规范材料，</w:t>
            </w:r>
            <w:r>
              <w:rPr>
                <w:rFonts w:hint="default" w:ascii="Times New Roman" w:hAnsi="Times New Roman" w:cs="Times New Roman"/>
                <w:sz w:val="24"/>
                <w:lang w:val="en-US" w:eastAsia="zh-CN"/>
              </w:rPr>
              <w:t>导则</w:t>
            </w:r>
            <w:r>
              <w:rPr>
                <w:rFonts w:hint="default" w:ascii="Times New Roman" w:hAnsi="Times New Roman" w:eastAsia="宋体" w:cs="Times New Roman"/>
                <w:sz w:val="24"/>
              </w:rPr>
              <w:t>在制定过程中，</w:t>
            </w:r>
            <w:r>
              <w:rPr>
                <w:rFonts w:hint="default" w:ascii="Times New Roman" w:hAnsi="Times New Roman" w:cs="Times New Roman"/>
                <w:sz w:val="24"/>
                <w:lang w:val="en-US" w:eastAsia="zh-CN"/>
              </w:rPr>
              <w:t>仅</w:t>
            </w:r>
            <w:r>
              <w:rPr>
                <w:rFonts w:hint="default" w:ascii="Times New Roman" w:hAnsi="Times New Roman" w:eastAsia="宋体" w:cs="Times New Roman"/>
                <w:sz w:val="24"/>
              </w:rPr>
              <w:t>检索到《预拌混凝土智能厂站评价要求》T/CBMF 89—2020</w:t>
            </w:r>
            <w:r>
              <w:rPr>
                <w:rFonts w:hint="default" w:ascii="Times New Roman" w:hAnsi="Times New Roman" w:eastAsia="宋体" w:cs="Times New Roman"/>
                <w:sz w:val="24"/>
                <w:lang w:eastAsia="zh-CN"/>
              </w:rPr>
              <w:t>。</w:t>
            </w:r>
            <w:r>
              <w:rPr>
                <w:rFonts w:hint="default" w:ascii="Times New Roman" w:hAnsi="Times New Roman" w:cs="Times New Roman"/>
                <w:sz w:val="24"/>
                <w:lang w:val="en-US" w:eastAsia="zh-CN"/>
              </w:rPr>
              <w:t>经与其对比分析，发现以下差异：</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lang w:eastAsia="zh-CN"/>
              </w:rPr>
              <w:t>（</w:t>
            </w:r>
            <w:r>
              <w:rPr>
                <w:rFonts w:hint="default" w:ascii="Times New Roman" w:hAnsi="Times New Roman" w:cs="Times New Roman"/>
                <w:sz w:val="24"/>
                <w:lang w:val="en-US" w:eastAsia="zh-CN"/>
              </w:rPr>
              <w:t>1</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预拌混凝土智能厂站评价要求</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T/CBMF 89</w:t>
            </w:r>
            <w:r>
              <w:rPr>
                <w:rFonts w:hint="default" w:ascii="Times New Roman" w:hAnsi="Times New Roman" w:eastAsia="宋体" w:cs="Times New Roman"/>
                <w:sz w:val="24"/>
                <w:lang w:val="en-US" w:eastAsia="zh-CN"/>
              </w:rPr>
              <w:t>为预拌混凝土协会于2020年针对全国混凝土厂站智能化现状发布的团体标准，其发布时间较早，少数条文不再适用</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武汉市预拌混凝土智能化技术导则</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为武汉市绿色建筑发展促进中心依据武汉市预拌混凝土厂站现状，立足企业高质量发展，经充分调研及论证制定，其条文更具普适性。</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w:t>
            </w:r>
            <w:r>
              <w:rPr>
                <w:rFonts w:hint="eastAsia" w:cs="Times New Roman"/>
                <w:sz w:val="24"/>
                <w:lang w:val="en-US" w:eastAsia="zh-CN"/>
              </w:rPr>
              <w:t>2</w:t>
            </w:r>
            <w:r>
              <w:rPr>
                <w:rFonts w:hint="default" w:ascii="Times New Roman" w:hAnsi="Times New Roman" w:eastAsia="宋体" w:cs="Times New Roman"/>
                <w:sz w:val="24"/>
                <w:lang w:val="en-US" w:eastAsia="zh-CN"/>
              </w:rPr>
              <w:t>）尽管</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预拌混凝土智能厂站评价要求</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同样建立了智能化厂站分级，但其单纯从分数高低来考虑智能化建设分级，各级别之间尚未建立明显智能化分界线，且评分依据并不适用于武汉市混凝土企业；</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武汉市预拌混凝土智能化技术导则</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充分考虑武汉市混凝土企业建设及发展现状，参照《智能制造能力成熟度模型》对其智能化等级进行合理划分为四级，且相应评分指标中明确技术指标，每一项评价指标都明确了具体的智能化要求，这些要求进一步细分为控制项和一般项，指明不同级别智能建设差距，更具指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jc w:val="center"/>
        </w:trPr>
        <w:tc>
          <w:tcPr>
            <w:tcW w:w="8820" w:type="dxa"/>
            <w:gridSpan w:val="4"/>
            <w:vAlign w:val="top"/>
          </w:tcPr>
          <w:p>
            <w:pPr>
              <w:numPr>
                <w:ilvl w:val="0"/>
                <w:numId w:val="0"/>
              </w:numPr>
              <w:spacing w:before="312" w:beforeLines="100" w:after="156" w:afterLines="50"/>
              <w:ind w:leftChars="0"/>
              <w:rPr>
                <w:rFonts w:hint="default" w:ascii="Times New Roman" w:hAnsi="Times New Roman" w:eastAsia="黑体" w:cs="Times New Roman"/>
                <w:sz w:val="24"/>
              </w:rPr>
            </w:pPr>
            <w:r>
              <w:rPr>
                <w:rFonts w:hint="default" w:ascii="Times New Roman" w:hAnsi="Times New Roman" w:eastAsia="黑体" w:cs="Times New Roman"/>
                <w:b/>
                <w:bCs/>
                <w:sz w:val="24"/>
                <w:lang w:eastAsia="zh-CN"/>
              </w:rPr>
              <w:t>四、</w:t>
            </w:r>
            <w:r>
              <w:rPr>
                <w:rFonts w:hint="default" w:ascii="Times New Roman" w:hAnsi="Times New Roman" w:eastAsia="黑体" w:cs="Times New Roman"/>
                <w:b/>
                <w:bCs/>
                <w:sz w:val="24"/>
              </w:rPr>
              <w:t>主要试验、验证结果</w:t>
            </w:r>
            <w:r>
              <w:rPr>
                <w:rFonts w:hint="default" w:ascii="Times New Roman" w:hAnsi="Times New Roman" w:eastAsia="黑体" w:cs="Times New Roman"/>
                <w:sz w:val="24"/>
              </w:rPr>
              <w:t>（</w:t>
            </w:r>
            <w:r>
              <w:rPr>
                <w:rFonts w:hint="default" w:ascii="Times New Roman" w:hAnsi="Times New Roman" w:cs="Times New Roman"/>
                <w:sz w:val="24"/>
              </w:rPr>
              <w:t>调查研究统计数据；主要试验；验证原始记录；分析或综述报告、例行试验报告；在我市应用时间、范围及效果等。</w:t>
            </w:r>
            <w:r>
              <w:rPr>
                <w:rFonts w:hint="default" w:ascii="Times New Roman" w:hAnsi="Times New Roman" w:eastAsia="黑体" w:cs="Times New Roman"/>
                <w:sz w:val="24"/>
              </w:rPr>
              <w:t>）</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根据国内外预拌混凝土行业智能化水平进行文献调研，总结武汉市搅拌站智能化建设难点、痛点，根据智慧工地、智慧物流、智能制造、智慧管理的四位一体搅拌站智能化框架，提出在</w:t>
            </w:r>
            <w:r>
              <w:rPr>
                <w:rFonts w:hint="default" w:ascii="Times New Roman" w:hAnsi="Times New Roman" w:eastAsia="宋体" w:cs="Times New Roman"/>
                <w:b w:val="0"/>
                <w:bCs w:val="0"/>
                <w:kern w:val="2"/>
                <w:sz w:val="24"/>
                <w:szCs w:val="24"/>
                <w:lang w:val="en-US" w:eastAsia="zh-CN" w:bidi="ar-SA"/>
              </w:rPr>
              <w:t>销售管理、物资管理、生产管理、环境与安全、质量管理、财务及报表</w:t>
            </w:r>
            <w:r>
              <w:rPr>
                <w:rFonts w:hint="default" w:ascii="Times New Roman" w:hAnsi="Times New Roman" w:eastAsia="宋体" w:cs="Times New Roman"/>
                <w:sz w:val="24"/>
                <w:lang w:val="en-US" w:eastAsia="zh-CN"/>
              </w:rPr>
              <w:t>等各业务板块的智能化建设方案，多个系统协同作用，集成一套混凝土预拌厂智能化运行体系，可实现从原材料到过程控制，到产品交付、客户服务等业务全流程的数字化和智能化，通过协同系统，实现各业务环节的数据贯通和业务贯通。</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《导则》选择了中建商品混凝土有限公司的智慧工厂作为典型案例进行分析。该案例在智能化建设方面取得了显著成效，具有较高的代表性和示范意义。</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中建商品混凝土有限公司从厂区入口实现自动降尘的智慧喷淋系统，到实现原材料进厂无人值守的智能过磅系统；从实现安全、质量、成本管控集成智能管理的厂站生产运营指挥中心，到充满现代机械感的智慧实验室。中建商砼基本实现了设备、产品、流程的平衡调试和使用，取得的成效可以概括为“三减三增”。</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减”一是减人。以物资系统的试点改革为例，随着智能化设备的上线，将过磅、计划下发等动作交由智能过磅系统和道闸系统执行，预计改革后试点单位物资系统人员22人可缩减至11人。二是“减量”。技术系统引入抗压强度智能检测机后，每日可节省试压工时2到4小时。在生产板块，调度岗每天可减少400次系统操作、600次重复沟通的事项，机操岗可减少600次左右的系统操作。三是“减环节”。如原材料快检环节，细骨料智能筛分机将原本9个步骤的实验流程、30分钟的试验时间，缩短到如今的2个步骤5分钟完成。</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三增”一是增质。将合同履约、应收账款管理等线下管理动作同步至线上，发挥各专业板块风控职能，搭建起全流程线上风险风控体系，降低了运营风险，提升了运营质量。二是增效。伴随着智能化系统的上线，物资管理流程得以精简和整合，从11项制度减为8项；日经营毛利也可自动生成，每日缩减成本管理岗工作量1小时。三是增体验。利用客户投诉的实时在线收集，更便于相关问题部门及时解决生产供应过程中的客户不满意，提升客户体验；以工作流程的E化优化为切入点，将员工从原先简单重复性的劳动中“解放”出来。</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智能化技术导则的制定和实施，对于武汉市预拌混凝土行业来说，不仅是技术进步的指南，更是行业转型升级的助推器。通过智能化技术的应用，企业能够提升自身的运营效率和产品质量，降低运营成本和风险，从而在激烈的市场竞争中占据有利地位。同时，智能化转型的成功实施，需要政策的支持、行业的协作以及企业内部管理的高效协同，这是一个系统工程，需要各方面的共同努力和配合。随着智能化技术的不断进步和应用，武汉市预拌混凝土行业必将迎来更加广阔的发展前景。</w:t>
            </w:r>
          </w:p>
          <w:p>
            <w:pPr>
              <w:spacing w:line="360" w:lineRule="exact"/>
              <w:rPr>
                <w:rFonts w:hint="default" w:ascii="Times New Roman" w:hAnsi="Times New Roman" w:cs="Times New Roman"/>
                <w:sz w:val="24"/>
              </w:rPr>
            </w:pPr>
          </w:p>
          <w:p>
            <w:pPr>
              <w:spacing w:line="360" w:lineRule="exact"/>
              <w:rPr>
                <w:rFonts w:hint="default" w:ascii="Times New Roman" w:hAnsi="Times New Roman" w:cs="Times New Roman"/>
                <w:sz w:val="24"/>
              </w:rPr>
            </w:pPr>
          </w:p>
          <w:p>
            <w:pPr>
              <w:spacing w:line="360" w:lineRule="exact"/>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1" w:hRule="atLeast"/>
          <w:jc w:val="center"/>
        </w:trPr>
        <w:tc>
          <w:tcPr>
            <w:tcW w:w="8820" w:type="dxa"/>
            <w:gridSpan w:val="4"/>
            <w:vAlign w:val="top"/>
          </w:tcPr>
          <w:p>
            <w:pPr>
              <w:numPr>
                <w:ilvl w:val="0"/>
                <w:numId w:val="0"/>
              </w:numPr>
              <w:spacing w:line="400" w:lineRule="exact"/>
              <w:rPr>
                <w:rFonts w:hint="default" w:ascii="Times New Roman" w:hAnsi="Times New Roman" w:cs="Times New Roman"/>
                <w:b/>
                <w:bCs/>
                <w:sz w:val="24"/>
              </w:rPr>
            </w:pPr>
            <w:r>
              <w:rPr>
                <w:rFonts w:hint="default" w:ascii="Times New Roman" w:hAnsi="Times New Roman" w:cs="Times New Roman"/>
                <w:b/>
                <w:bCs/>
                <w:sz w:val="24"/>
                <w:lang w:eastAsia="zh-CN"/>
              </w:rPr>
              <w:t>五、主要编制过程</w:t>
            </w:r>
          </w:p>
          <w:p>
            <w:pPr>
              <w:numPr>
                <w:ilvl w:val="0"/>
                <w:numId w:val="0"/>
              </w:numPr>
              <w:spacing w:line="360" w:lineRule="auto"/>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bCs/>
                <w:sz w:val="24"/>
                <w:lang w:val="en-US" w:eastAsia="zh-CN"/>
              </w:rPr>
              <w:t xml:space="preserve">  </w:t>
            </w:r>
            <w:r>
              <w:rPr>
                <w:rFonts w:hint="default" w:ascii="Times New Roman" w:hAnsi="Times New Roman" w:eastAsia="宋体" w:cs="Times New Roman"/>
                <w:b w:val="0"/>
                <w:bCs w:val="0"/>
                <w:sz w:val="24"/>
                <w:szCs w:val="24"/>
                <w:lang w:val="en-US" w:eastAsia="zh-CN"/>
              </w:rPr>
              <w:t xml:space="preserve">  项目成立以来，课题编制组以课题研究为主要工作任务，研究工作从武汉市预拌混凝土智能化建设现状出发，通过经验总结、考察与自主研发的结合，结合武汉市预拌混凝土企业智能化发展现状，于 2024 年</w:t>
            </w:r>
            <w:r>
              <w:rPr>
                <w:rFonts w:hint="default" w:ascii="Times New Roman" w:hAnsi="Times New Roman" w:cs="Times New Roman"/>
                <w:b w:val="0"/>
                <w:bCs w:val="0"/>
                <w:sz w:val="24"/>
                <w:szCs w:val="24"/>
                <w:lang w:val="en-US" w:eastAsia="zh-CN"/>
              </w:rPr>
              <w:t>12</w:t>
            </w:r>
            <w:r>
              <w:rPr>
                <w:rFonts w:hint="default" w:ascii="Times New Roman" w:hAnsi="Times New Roman" w:eastAsia="宋体" w:cs="Times New Roman"/>
                <w:b w:val="0"/>
                <w:bCs w:val="0"/>
                <w:sz w:val="24"/>
                <w:szCs w:val="24"/>
                <w:lang w:val="en-US" w:eastAsia="zh-CN"/>
              </w:rPr>
              <w:t>月形成适合武汉市实际情况的《武汉市预拌混凝土智能化厂站技术导则》征求意见稿。</w:t>
            </w:r>
          </w:p>
          <w:p>
            <w:pPr>
              <w:spacing w:line="360" w:lineRule="auto"/>
              <w:ind w:firstLine="480" w:firstLineChars="200"/>
              <w:rPr>
                <w:rFonts w:hint="default" w:ascii="Times New Roman" w:hAnsi="Times New Roman" w:cs="Times New Roman"/>
                <w:sz w:val="24"/>
              </w:rPr>
            </w:pPr>
            <w:r>
              <w:rPr>
                <w:rFonts w:hint="default" w:ascii="Times New Roman" w:hAnsi="Times New Roman" w:eastAsia="宋体" w:cs="Times New Roman"/>
                <w:b w:val="0"/>
                <w:bCs w:val="0"/>
                <w:sz w:val="24"/>
                <w:szCs w:val="24"/>
                <w:lang w:val="en-US" w:eastAsia="zh-CN"/>
              </w:rPr>
              <w:t>现按照</w:t>
            </w:r>
            <w:r>
              <w:rPr>
                <w:rFonts w:hint="default" w:ascii="Times New Roman" w:hAnsi="Times New Roman" w:cs="Times New Roman"/>
                <w:b w:val="0"/>
                <w:bCs w:val="0"/>
                <w:sz w:val="24"/>
                <w:szCs w:val="24"/>
                <w:lang w:val="en-US" w:eastAsia="zh-CN"/>
              </w:rPr>
              <w:t>相关</w:t>
            </w:r>
            <w:r>
              <w:rPr>
                <w:rFonts w:hint="default" w:ascii="Times New Roman" w:hAnsi="Times New Roman" w:eastAsia="宋体" w:cs="Times New Roman"/>
                <w:b w:val="0"/>
                <w:bCs w:val="0"/>
                <w:sz w:val="24"/>
                <w:szCs w:val="24"/>
                <w:lang w:val="en-US" w:eastAsia="zh-CN"/>
              </w:rPr>
              <w:t>规定，广泛征求有关行政主管部门以及企事业单位、社会团体、消费者组织和教育、科研机构等方面意见，并在管理部门网站上公示《</w:t>
            </w:r>
            <w:r>
              <w:rPr>
                <w:rFonts w:hint="eastAsia" w:cs="Times New Roman"/>
                <w:b w:val="0"/>
                <w:bCs w:val="0"/>
                <w:sz w:val="24"/>
                <w:szCs w:val="24"/>
                <w:lang w:val="en-US" w:eastAsia="zh-CN"/>
              </w:rPr>
              <w:t>技术导则</w:t>
            </w:r>
            <w:r>
              <w:rPr>
                <w:rFonts w:hint="default" w:ascii="Times New Roman" w:hAnsi="Times New Roman" w:eastAsia="宋体" w:cs="Times New Roman"/>
                <w:b w:val="0"/>
                <w:bCs w:val="0"/>
                <w:sz w:val="24"/>
                <w:szCs w:val="24"/>
                <w:lang w:val="en-US" w:eastAsia="zh-CN"/>
              </w:rPr>
              <w:t>（征求意见稿）》，公开征求意见时间一般不少</w:t>
            </w:r>
            <w:r>
              <w:rPr>
                <w:rFonts w:hint="eastAsia" w:cs="Times New Roman"/>
                <w:b w:val="0"/>
                <w:bCs w:val="0"/>
                <w:sz w:val="24"/>
                <w:szCs w:val="24"/>
                <w:lang w:val="en-US" w:eastAsia="zh-CN"/>
              </w:rPr>
              <w:t>15</w:t>
            </w:r>
            <w:r>
              <w:rPr>
                <w:rFonts w:hint="default" w:ascii="Times New Roman" w:hAnsi="Times New Roman" w:eastAsia="宋体" w:cs="Times New Roman"/>
                <w:b w:val="0"/>
                <w:bCs w:val="0"/>
                <w:sz w:val="24"/>
                <w:szCs w:val="24"/>
                <w:lang w:val="en-US" w:eastAsia="zh-CN"/>
              </w:rPr>
              <w:t>日。</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decimal"/>
      <w:pStyle w:val="17"/>
      <w:lvlText w:val="5.1.1.%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MTMwYWI2MTlhOTQ2Njg3MTc1NjNjZTBhYjZmZGQifQ=="/>
  </w:docVars>
  <w:rsids>
    <w:rsidRoot w:val="00172A27"/>
    <w:rsid w:val="00AA5EA4"/>
    <w:rsid w:val="00B16BF4"/>
    <w:rsid w:val="016F5D78"/>
    <w:rsid w:val="06777FF7"/>
    <w:rsid w:val="06A207AC"/>
    <w:rsid w:val="06F9390E"/>
    <w:rsid w:val="071E165F"/>
    <w:rsid w:val="07372B84"/>
    <w:rsid w:val="0C7854C0"/>
    <w:rsid w:val="0FD84FCA"/>
    <w:rsid w:val="10A16BCB"/>
    <w:rsid w:val="15F4051B"/>
    <w:rsid w:val="18433DAB"/>
    <w:rsid w:val="1A895E3F"/>
    <w:rsid w:val="1AFC01B0"/>
    <w:rsid w:val="1C314704"/>
    <w:rsid w:val="1D0C48C2"/>
    <w:rsid w:val="1EF50DA7"/>
    <w:rsid w:val="1F8259CE"/>
    <w:rsid w:val="1FB96406"/>
    <w:rsid w:val="20AD43E4"/>
    <w:rsid w:val="221E7CCC"/>
    <w:rsid w:val="22937912"/>
    <w:rsid w:val="243E6003"/>
    <w:rsid w:val="26176B40"/>
    <w:rsid w:val="27390D29"/>
    <w:rsid w:val="274F500F"/>
    <w:rsid w:val="288802FD"/>
    <w:rsid w:val="28D8697F"/>
    <w:rsid w:val="294326E0"/>
    <w:rsid w:val="29E06F11"/>
    <w:rsid w:val="2A4525A0"/>
    <w:rsid w:val="2EFF4D46"/>
    <w:rsid w:val="3145632C"/>
    <w:rsid w:val="33D645BD"/>
    <w:rsid w:val="34EE74A3"/>
    <w:rsid w:val="36451A53"/>
    <w:rsid w:val="38E108BD"/>
    <w:rsid w:val="3CC9099C"/>
    <w:rsid w:val="3F382141"/>
    <w:rsid w:val="423D5F5F"/>
    <w:rsid w:val="42643BD1"/>
    <w:rsid w:val="44015A22"/>
    <w:rsid w:val="47296425"/>
    <w:rsid w:val="47DC2487"/>
    <w:rsid w:val="48DF3D6C"/>
    <w:rsid w:val="49725524"/>
    <w:rsid w:val="4B073C6D"/>
    <w:rsid w:val="4B0A0EC6"/>
    <w:rsid w:val="4E9409EE"/>
    <w:rsid w:val="511643A3"/>
    <w:rsid w:val="513B5DE0"/>
    <w:rsid w:val="52565FF3"/>
    <w:rsid w:val="56ED3C97"/>
    <w:rsid w:val="5900205A"/>
    <w:rsid w:val="59971560"/>
    <w:rsid w:val="5A8365F7"/>
    <w:rsid w:val="5AAB22EC"/>
    <w:rsid w:val="5C722924"/>
    <w:rsid w:val="5C8B11F4"/>
    <w:rsid w:val="5CA3535D"/>
    <w:rsid w:val="5D06243A"/>
    <w:rsid w:val="5D7A07AB"/>
    <w:rsid w:val="5DA432BC"/>
    <w:rsid w:val="5DC67C25"/>
    <w:rsid w:val="602464AF"/>
    <w:rsid w:val="61A67428"/>
    <w:rsid w:val="61B80E0B"/>
    <w:rsid w:val="6466146F"/>
    <w:rsid w:val="674F3958"/>
    <w:rsid w:val="677B141A"/>
    <w:rsid w:val="6956254C"/>
    <w:rsid w:val="6AA17E9D"/>
    <w:rsid w:val="6C240A57"/>
    <w:rsid w:val="6D4F3CCB"/>
    <w:rsid w:val="6D8F0A96"/>
    <w:rsid w:val="6DBA2145"/>
    <w:rsid w:val="6F291A28"/>
    <w:rsid w:val="6FFF797C"/>
    <w:rsid w:val="721C65FF"/>
    <w:rsid w:val="72FD2D54"/>
    <w:rsid w:val="73071100"/>
    <w:rsid w:val="73960F9A"/>
    <w:rsid w:val="763C5440"/>
    <w:rsid w:val="774C5829"/>
    <w:rsid w:val="77632152"/>
    <w:rsid w:val="77764138"/>
    <w:rsid w:val="780A15E9"/>
    <w:rsid w:val="79293527"/>
    <w:rsid w:val="7AB8684F"/>
    <w:rsid w:val="7C9B6F44"/>
    <w:rsid w:val="7D854EAC"/>
    <w:rsid w:val="7F0B6F39"/>
    <w:rsid w:val="7F267BB4"/>
    <w:rsid w:val="7F420CAD"/>
    <w:rsid w:val="7FFFB81C"/>
    <w:rsid w:val="FAEFD4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beforeLines="0" w:beforeAutospacing="0" w:after="330" w:afterLines="0" w:afterAutospacing="0" w:line="360" w:lineRule="auto"/>
      <w:outlineLvl w:val="0"/>
    </w:pPr>
    <w:rPr>
      <w:rFonts w:ascii="Times New Roman" w:hAnsi="Times New Roman" w:eastAsia="黑体" w:cs="Times New Roman"/>
      <w:b/>
      <w:kern w:val="44"/>
      <w:sz w:val="32"/>
    </w:rPr>
  </w:style>
  <w:style w:type="paragraph" w:styleId="3">
    <w:name w:val="heading 2"/>
    <w:basedOn w:val="1"/>
    <w:next w:val="1"/>
    <w:link w:val="23"/>
    <w:unhideWhenUsed/>
    <w:qFormat/>
    <w:uiPriority w:val="0"/>
    <w:pPr>
      <w:keepNext/>
      <w:keepLines/>
      <w:spacing w:before="260" w:beforeLines="0" w:beforeAutospacing="0" w:after="260" w:afterLines="0" w:afterAutospacing="0" w:line="360" w:lineRule="auto"/>
      <w:jc w:val="center"/>
      <w:outlineLvl w:val="1"/>
    </w:pPr>
    <w:rPr>
      <w:rFonts w:ascii="Arial" w:hAnsi="Arial" w:eastAsia="黑体" w:cs="Times New Roman"/>
      <w:b/>
      <w:sz w:val="30"/>
    </w:rPr>
  </w:style>
  <w:style w:type="paragraph" w:styleId="4">
    <w:name w:val="heading 3"/>
    <w:basedOn w:val="1"/>
    <w:next w:val="1"/>
    <w:link w:val="24"/>
    <w:semiHidden/>
    <w:unhideWhenUsed/>
    <w:qFormat/>
    <w:uiPriority w:val="0"/>
    <w:pPr>
      <w:keepNext/>
      <w:keepLines/>
      <w:tabs>
        <w:tab w:val="left" w:pos="560"/>
      </w:tabs>
      <w:adjustRightInd w:val="0"/>
      <w:snapToGrid w:val="0"/>
      <w:spacing w:before="260" w:beforeLines="0" w:beforeAutospacing="0" w:after="120" w:afterLines="0" w:afterAutospacing="0" w:line="360" w:lineRule="auto"/>
      <w:ind w:left="0" w:leftChars="0"/>
      <w:jc w:val="left"/>
      <w:outlineLvl w:val="2"/>
    </w:pPr>
    <w:rPr>
      <w:rFonts w:ascii="Times New Roman" w:hAnsi="Times New Roman" w:eastAsia="宋体" w:cs="Times New Roman"/>
      <w:b/>
      <w:sz w:val="28"/>
    </w:rPr>
  </w:style>
  <w:style w:type="paragraph" w:styleId="5">
    <w:name w:val="heading 4"/>
    <w:basedOn w:val="1"/>
    <w:next w:val="1"/>
    <w:link w:val="20"/>
    <w:unhideWhenUsed/>
    <w:qFormat/>
    <w:uiPriority w:val="0"/>
    <w:pPr>
      <w:keepNext/>
      <w:keepLines/>
      <w:adjustRightInd w:val="0"/>
      <w:snapToGrid w:val="0"/>
      <w:spacing w:before="280" w:beforeLines="0" w:beforeAutospacing="0" w:after="290" w:afterLines="0" w:afterAutospacing="0" w:line="240" w:lineRule="auto"/>
      <w:outlineLvl w:val="3"/>
    </w:pPr>
    <w:rPr>
      <w:rFonts w:ascii="Arial" w:hAnsi="Arial" w:eastAsia="黑体" w:cs="Times New Roman"/>
      <w:b/>
      <w:sz w:val="28"/>
      <w:szCs w:val="22"/>
    </w:rPr>
  </w:style>
  <w:style w:type="paragraph" w:styleId="6">
    <w:name w:val="heading 5"/>
    <w:basedOn w:val="1"/>
    <w:next w:val="1"/>
    <w:link w:val="22"/>
    <w:semiHidden/>
    <w:unhideWhenUsed/>
    <w:qFormat/>
    <w:uiPriority w:val="0"/>
    <w:pPr>
      <w:keepNext/>
      <w:keepLines/>
      <w:spacing w:before="280" w:beforeLines="0" w:beforeAutospacing="0" w:after="290" w:afterLines="0" w:afterAutospacing="0" w:line="360" w:lineRule="auto"/>
      <w:outlineLvl w:val="4"/>
    </w:pPr>
    <w:rPr>
      <w:rFonts w:ascii="Calibri" w:hAnsi="Calibri" w:eastAsia="宋体" w:cs="Times New Roman"/>
      <w:b/>
      <w:sz w:val="28"/>
      <w:szCs w:val="22"/>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4"/>
      <w:szCs w:val="22"/>
    </w:rPr>
  </w:style>
  <w:style w:type="character" w:default="1" w:styleId="16">
    <w:name w:val="Default Paragraph Font"/>
    <w:link w:val="17"/>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spacing w:line="360" w:lineRule="auto"/>
      <w:ind w:firstLine="420" w:firstLineChars="200"/>
    </w:pPr>
    <w:rPr>
      <w:sz w:val="24"/>
    </w:rPr>
  </w:style>
  <w:style w:type="paragraph" w:styleId="9">
    <w:name w:val="Body Text"/>
    <w:basedOn w:val="1"/>
    <w:next w:val="10"/>
    <w:semiHidden/>
    <w:unhideWhenUsed/>
    <w:qFormat/>
    <w:uiPriority w:val="99"/>
    <w:pPr>
      <w:spacing w:after="120"/>
    </w:pPr>
  </w:style>
  <w:style w:type="paragraph" w:styleId="10">
    <w:name w:val="Title"/>
    <w:basedOn w:val="1"/>
    <w:next w:val="1"/>
    <w:qFormat/>
    <w:uiPriority w:val="0"/>
    <w:pPr>
      <w:widowControl/>
      <w:spacing w:before="120" w:after="120"/>
      <w:ind w:firstLine="422"/>
      <w:jc w:val="center"/>
    </w:pPr>
    <w:rPr>
      <w:rFonts w:ascii="Times New Roman" w:hAnsi="Times New Roman"/>
      <w:b/>
      <w:bCs/>
      <w:kern w:val="0"/>
      <w:szCs w:val="21"/>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link w:val="25"/>
    <w:qFormat/>
    <w:uiPriority w:val="0"/>
    <w:pPr>
      <w:tabs>
        <w:tab w:val="left" w:pos="300"/>
        <w:tab w:val="right" w:leader="dot" w:pos="8296"/>
      </w:tabs>
      <w:adjustRightInd w:val="0"/>
      <w:snapToGrid w:val="0"/>
      <w:jc w:val="left"/>
    </w:pPr>
    <w:rPr>
      <w:rFonts w:eastAsia="宋体" w:asciiTheme="minorAscii" w:hAnsiTheme="minorAscii" w:cstheme="minorBidi"/>
      <w:bCs/>
      <w:szCs w:val="21"/>
      <w:lang w:bidi="ar-SA"/>
    </w:rPr>
  </w:style>
  <w:style w:type="paragraph" w:styleId="14">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17">
    <w:name w:val="Char2"/>
    <w:basedOn w:val="1"/>
    <w:link w:val="16"/>
    <w:qFormat/>
    <w:uiPriority w:val="0"/>
    <w:pPr>
      <w:numPr>
        <w:ilvl w:val="0"/>
        <w:numId w:val="1"/>
      </w:numPr>
    </w:pPr>
  </w:style>
  <w:style w:type="paragraph" w:customStyle="1" w:styleId="18">
    <w:name w:val="Char"/>
    <w:basedOn w:val="1"/>
    <w:link w:val="16"/>
    <w:qFormat/>
    <w:uiPriority w:val="0"/>
    <w:pPr>
      <w:numPr>
        <w:ilvl w:val="0"/>
        <w:numId w:val="1"/>
      </w:numPr>
    </w:pPr>
  </w:style>
  <w:style w:type="paragraph" w:customStyle="1" w:styleId="19">
    <w:name w:val="Char1"/>
    <w:basedOn w:val="1"/>
    <w:link w:val="16"/>
    <w:qFormat/>
    <w:uiPriority w:val="0"/>
    <w:pPr>
      <w:numPr>
        <w:ilvl w:val="0"/>
        <w:numId w:val="1"/>
      </w:numPr>
    </w:pPr>
  </w:style>
  <w:style w:type="character" w:customStyle="1" w:styleId="20">
    <w:name w:val="标题 4 Char"/>
    <w:link w:val="5"/>
    <w:qFormat/>
    <w:uiPriority w:val="99"/>
    <w:rPr>
      <w:rFonts w:ascii="Arial" w:hAnsi="Arial" w:eastAsia="黑体" w:cs="Times New Roman"/>
      <w:b/>
      <w:sz w:val="24"/>
      <w:szCs w:val="22"/>
    </w:rPr>
  </w:style>
  <w:style w:type="character" w:customStyle="1" w:styleId="21">
    <w:name w:val="标题 1 Char"/>
    <w:basedOn w:val="16"/>
    <w:link w:val="2"/>
    <w:qFormat/>
    <w:uiPriority w:val="0"/>
    <w:rPr>
      <w:rFonts w:ascii="Times New Roman" w:hAnsi="Times New Roman" w:eastAsia="宋体" w:cs="Times New Roman"/>
      <w:b/>
      <w:bCs/>
      <w:kern w:val="44"/>
      <w:sz w:val="28"/>
      <w:szCs w:val="44"/>
      <w:lang w:bidi="ar-SA"/>
    </w:rPr>
  </w:style>
  <w:style w:type="character" w:customStyle="1" w:styleId="22">
    <w:name w:val="标题 5 Char"/>
    <w:link w:val="6"/>
    <w:qFormat/>
    <w:uiPriority w:val="99"/>
    <w:rPr>
      <w:rFonts w:ascii="Calibri" w:hAnsi="Calibri" w:eastAsia="宋体" w:cs="Times New Roman"/>
      <w:b/>
      <w:sz w:val="24"/>
      <w:szCs w:val="22"/>
    </w:rPr>
  </w:style>
  <w:style w:type="character" w:customStyle="1" w:styleId="23">
    <w:name w:val="标题 2 Char"/>
    <w:basedOn w:val="16"/>
    <w:link w:val="3"/>
    <w:qFormat/>
    <w:uiPriority w:val="0"/>
    <w:rPr>
      <w:rFonts w:ascii="Arial" w:hAnsi="Arial" w:eastAsia="宋体" w:cs="Times New Roman"/>
      <w:b/>
      <w:bCs/>
      <w:sz w:val="28"/>
      <w:szCs w:val="24"/>
      <w:lang w:bidi="ar-SA"/>
    </w:rPr>
  </w:style>
  <w:style w:type="character" w:customStyle="1" w:styleId="24">
    <w:name w:val="标题 3 Char Char"/>
    <w:basedOn w:val="16"/>
    <w:link w:val="4"/>
    <w:qFormat/>
    <w:uiPriority w:val="0"/>
    <w:rPr>
      <w:rFonts w:ascii="Times New Roman" w:hAnsi="Times New Roman" w:eastAsia="宋体" w:cs="Times New Roman"/>
      <w:b/>
      <w:kern w:val="2"/>
      <w:sz w:val="30"/>
      <w:szCs w:val="22"/>
      <w:lang w:val="zh-CN" w:eastAsia="zh-CN" w:bidi="zh-CN"/>
    </w:rPr>
  </w:style>
  <w:style w:type="character" w:customStyle="1" w:styleId="25">
    <w:name w:val="目录 1 Char"/>
    <w:link w:val="13"/>
    <w:qFormat/>
    <w:uiPriority w:val="39"/>
    <w:rPr>
      <w:rFonts w:eastAsia="宋体" w:asciiTheme="minorAscii" w:hAnsiTheme="minorAscii"/>
      <w:bCs/>
      <w:szCs w:val="21"/>
      <w:lang w:bidi="ar-SA"/>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7">
    <w:name w:val="Body text|1"/>
    <w:basedOn w:val="1"/>
    <w:qFormat/>
    <w:uiPriority w:val="0"/>
    <w:pPr>
      <w:spacing w:line="432" w:lineRule="auto"/>
    </w:pPr>
    <w:rPr>
      <w:rFonts w:ascii="宋体" w:hAnsi="宋体" w:eastAsia="宋体" w:cs="宋体"/>
      <w:sz w:val="20"/>
      <w:szCs w:val="20"/>
      <w:lang w:val="zh-TW" w:eastAsia="zh-TW" w:bidi="zh-TW"/>
    </w:rPr>
  </w:style>
  <w:style w:type="paragraph" w:customStyle="1" w:styleId="28">
    <w:name w:val="Header or footer|1"/>
    <w:basedOn w:val="1"/>
    <w:qFormat/>
    <w:uiPriority w:val="0"/>
    <w:rPr>
      <w:sz w:val="17"/>
      <w:szCs w:val="17"/>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3335</Words>
  <Characters>3507</Characters>
  <Lines>0</Lines>
  <Paragraphs>0</Paragraphs>
  <TotalTime>6</TotalTime>
  <ScaleCrop>false</ScaleCrop>
  <LinksUpToDate>false</LinksUpToDate>
  <CharactersWithSpaces>3568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dcterms:modified xsi:type="dcterms:W3CDTF">2025-02-25T01:20:56Z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A361A101423743E08A2D9D877C34FB73_13</vt:lpwstr>
  </property>
</Properties>
</file>