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60" w:lineRule="exact"/>
        <w:jc w:val="center"/>
        <w:rPr>
          <w:rFonts w:ascii="华文中宋" w:hAnsi="华文中宋" w:eastAsia="华文中宋"/>
          <w:sz w:val="44"/>
          <w:szCs w:val="44"/>
        </w:rPr>
      </w:pPr>
      <w:bookmarkStart w:id="19" w:name="_GoBack"/>
      <w:bookmarkEnd w:id="19"/>
      <w:bookmarkStart w:id="0" w:name="_Hlk220939875"/>
      <w:bookmarkEnd w:id="0"/>
      <w:r>
        <w:rPr>
          <w:rFonts w:ascii="华文中宋" w:hAnsi="华文中宋" w:eastAsia="华文中宋"/>
          <w:sz w:val="44"/>
          <w:szCs w:val="44"/>
        </w:rPr>
        <w:t>市人民政府关于</w:t>
      </w:r>
      <w:r>
        <w:rPr>
          <w:rFonts w:hint="eastAsia" w:ascii="华文中宋" w:hAnsi="华文中宋" w:eastAsia="华文中宋"/>
          <w:sz w:val="44"/>
          <w:szCs w:val="44"/>
        </w:rPr>
        <w:t>进一步</w:t>
      </w:r>
      <w:r>
        <w:rPr>
          <w:rFonts w:ascii="华文中宋" w:hAnsi="华文中宋" w:eastAsia="华文中宋"/>
          <w:sz w:val="44"/>
          <w:szCs w:val="44"/>
        </w:rPr>
        <w:t>推进自然资源节约集约高效利用的</w:t>
      </w:r>
      <w:r>
        <w:rPr>
          <w:rFonts w:hint="eastAsia" w:ascii="华文中宋" w:hAnsi="华文中宋" w:eastAsia="华文中宋"/>
          <w:sz w:val="44"/>
          <w:szCs w:val="44"/>
        </w:rPr>
        <w:t>若干措施及实施细则</w:t>
      </w:r>
    </w:p>
    <w:p>
      <w:pPr>
        <w:spacing w:after="0" w:line="560" w:lineRule="exact"/>
        <w:jc w:val="both"/>
        <w:rPr>
          <w:rFonts w:ascii="仿宋" w:hAnsi="仿宋" w:eastAsia="仿宋"/>
          <w:sz w:val="32"/>
          <w:szCs w:val="32"/>
        </w:rPr>
      </w:pPr>
    </w:p>
    <w:p>
      <w:pPr>
        <w:spacing w:after="0" w:line="560" w:lineRule="exact"/>
        <w:jc w:val="both"/>
        <w:rPr>
          <w:rFonts w:ascii="黑体" w:hAnsi="黑体" w:eastAsia="黑体"/>
          <w:sz w:val="32"/>
          <w:szCs w:val="32"/>
        </w:rPr>
      </w:pPr>
      <w:r>
        <w:rPr>
          <w:rFonts w:hint="eastAsia" w:ascii="仿宋" w:hAnsi="仿宋" w:eastAsia="仿宋"/>
          <w:sz w:val="32"/>
          <w:szCs w:val="32"/>
        </w:rPr>
        <w:t>各区人民政府，市人民政府各部门：</w:t>
      </w:r>
      <w:r>
        <w:rPr>
          <w:rFonts w:hint="eastAsia" w:ascii="仿宋" w:hAnsi="仿宋" w:eastAsia="仿宋"/>
          <w:sz w:val="32"/>
          <w:szCs w:val="32"/>
        </w:rPr>
        <w:br w:type="textWrapping"/>
      </w:r>
      <w:r>
        <w:rPr>
          <w:rFonts w:hint="eastAsia" w:ascii="仿宋" w:hAnsi="仿宋" w:eastAsia="仿宋"/>
          <w:sz w:val="32"/>
          <w:szCs w:val="32"/>
        </w:rPr>
        <w:t xml:space="preserve">　　为积极推进我市自然资源节约集约利用，根据《自然资源部关于保护和永续利用自然资源扎实推进美丽中国建设的实施意见》（自然资发〔2024〕150号）、《省人民政府关于推进自然资源节约集约高效利用的实施意见》（鄂政发〔2020〕23号）等文件精神，结合我市实际，经研究，特提出如下意见： </w:t>
      </w:r>
    </w:p>
    <w:p>
      <w:pPr>
        <w:spacing w:after="0" w:line="560" w:lineRule="exact"/>
        <w:ind w:firstLine="960" w:firstLineChars="300"/>
        <w:jc w:val="both"/>
        <w:rPr>
          <w:rFonts w:ascii="仿宋" w:hAnsi="仿宋" w:eastAsia="仿宋"/>
          <w:sz w:val="32"/>
          <w:szCs w:val="32"/>
        </w:rPr>
      </w:pPr>
      <w:r>
        <w:rPr>
          <w:rFonts w:hint="eastAsia" w:ascii="黑体" w:hAnsi="黑体" w:eastAsia="黑体"/>
          <w:sz w:val="32"/>
          <w:szCs w:val="32"/>
        </w:rPr>
        <w:t>一、总体要求</w:t>
      </w:r>
      <w:r>
        <w:rPr>
          <w:rFonts w:hint="eastAsia" w:ascii="仿宋" w:hAnsi="仿宋" w:eastAsia="仿宋"/>
          <w:sz w:val="32"/>
          <w:szCs w:val="32"/>
        </w:rPr>
        <w:br w:type="textWrapping"/>
      </w:r>
      <w:r>
        <w:rPr>
          <w:rFonts w:hint="eastAsia" w:ascii="仿宋" w:hAnsi="仿宋" w:eastAsia="仿宋"/>
          <w:sz w:val="32"/>
          <w:szCs w:val="32"/>
        </w:rPr>
        <w:t>　　以习近平新时代中国特色社会主义思想为指导，全面贯彻党的二十大和二十届历次全会精神和习近平总书记视察湖北武汉重要讲话精神，落实省委、省政府关于节约集约高效利用自然资源的决策部署，按照“总量锁定、增量递减、流量增效、存量优化、质量提高”五量管控目标要求，加快实施全市自然资源总量管理，严格控制建设用地规模，逐年减少新增建设用地，大力促进存量建设用地盘活利用，提升自然资源配置效率，提高自然资源利用质量，推动我市经济高质量发展。</w:t>
      </w:r>
    </w:p>
    <w:p>
      <w:pPr>
        <w:spacing w:after="0" w:line="560" w:lineRule="exact"/>
        <w:ind w:firstLine="640" w:firstLineChars="200"/>
        <w:jc w:val="both"/>
        <w:rPr>
          <w:rFonts w:ascii="仿宋" w:hAnsi="仿宋" w:eastAsia="仿宋"/>
          <w:sz w:val="32"/>
          <w:szCs w:val="32"/>
        </w:rPr>
      </w:pPr>
      <w:r>
        <w:rPr>
          <w:rFonts w:hint="eastAsia" w:ascii="黑体" w:hAnsi="黑体" w:eastAsia="黑体"/>
          <w:sz w:val="32"/>
          <w:szCs w:val="32"/>
        </w:rPr>
        <w:t>二、强化规划引领，优化空间布局</w:t>
      </w:r>
      <w:r>
        <w:rPr>
          <w:rFonts w:hint="eastAsia" w:ascii="仿宋" w:hAnsi="仿宋" w:eastAsia="仿宋"/>
          <w:sz w:val="32"/>
          <w:szCs w:val="32"/>
        </w:rPr>
        <w:br w:type="textWrapping"/>
      </w:r>
      <w:r>
        <w:rPr>
          <w:rFonts w:hint="eastAsia" w:ascii="仿宋" w:hAnsi="仿宋" w:eastAsia="仿宋"/>
          <w:sz w:val="32"/>
          <w:szCs w:val="32"/>
        </w:rPr>
        <w:t>　　（一）强化国土空间规划管控。严格实施国土空间规划，守住永久基本农田、生态保护红线和城镇开发边界三条控制线，产业布局、结构调整、资源开发、城镇建设、重大项目招商选址等应符合三条控制线管理要求。加强生态环境分区管控与国土空间规划的动态衔接，加快转变城市发展方式，构建多中心、组团式、网络化的城镇空间发展格局，城镇建设用地总规模不得突破规划管控目标。坚持先规划再利用，涉及国土空间利用的相关专项规划要遵循国土空间总体规划，不得违背总体规划强制性内容。（牵头单位：市自然资源和城乡建设局，各区人民政府〈含开发区、风景区管委会，下同〉；责任单位：市发展改革委、市生态环境局、市投资促进局、市经济和信息化局、市住房和城市更新局、市农业农村局、市水务局、市交通运输局、市园林和林业局）</w:t>
      </w:r>
    </w:p>
    <w:p>
      <w:pPr>
        <w:spacing w:after="0" w:line="560" w:lineRule="exact"/>
        <w:ind w:firstLine="640" w:firstLineChars="200"/>
        <w:jc w:val="both"/>
        <w:rPr>
          <w:rFonts w:ascii="楷体" w:hAnsi="楷体" w:eastAsia="楷体" w:cs="楷体"/>
          <w:bCs/>
          <w:i/>
          <w:iCs/>
          <w:sz w:val="32"/>
          <w:szCs w:val="32"/>
        </w:rPr>
      </w:pPr>
      <w:r>
        <w:rPr>
          <w:rFonts w:hint="eastAsia" w:ascii="仿宋" w:hAnsi="仿宋" w:eastAsia="仿宋"/>
          <w:sz w:val="32"/>
          <w:szCs w:val="32"/>
        </w:rPr>
        <w:t>（二）引导产业向主体功能区集聚。以产业地图引导各区特色产业的发展，加快构建全市“主城做优、四副做强、城乡一体、融合发展”的空间发展格局。主城要加快城市更新，盘活存量用地，优化用地结构，探索存量商业、服务业等功能性项目升级改造，提升主城服务功能。光谷副城、车谷副城、临空副城、长江新区副城要加快园区升级改造，促进产业向园区集聚，加快副城中心产业建设，吸引人口集聚，促进职住平衡。通过综合整治土地、修复生态用地、完善配套设施等措施，建设农业生产、生态保育、休闲游憩的乡村综合功能区，实现乡村地区建设用地结构优化。（牵头单位：各区人民政府；责任单位：市发展改革委、市经济和信息化局、市投资促进局、市自然资源和城乡建设局、市农业农村局）</w:t>
      </w:r>
    </w:p>
    <w:p>
      <w:pPr>
        <w:spacing w:after="0" w:line="560" w:lineRule="exact"/>
        <w:ind w:firstLine="640" w:firstLineChars="200"/>
        <w:jc w:val="both"/>
        <w:rPr>
          <w:rFonts w:ascii="仿宋" w:hAnsi="仿宋" w:eastAsia="仿宋"/>
          <w:sz w:val="32"/>
          <w:szCs w:val="32"/>
        </w:rPr>
      </w:pPr>
      <w:r>
        <w:rPr>
          <w:rFonts w:hint="eastAsia" w:ascii="仿宋" w:hAnsi="仿宋" w:eastAsia="仿宋"/>
          <w:sz w:val="32"/>
          <w:szCs w:val="32"/>
        </w:rPr>
        <w:t>（三）探索围绕公共交通土地集约开发模式。围绕轨道走廊和枢纽站点组织交通功能与城市功能，促进土地与交通协调发展。主城用地要依托轨道站点集约、复合、立体开发，通过强化枢纽集聚效应支撑城市多中心职能体系构建，促进用地有机更新；外围副城等区域要依托轨道、市域铁路等，支撑轴带走廊式用地集约利用和空间有序拓展，以轨道交通大型枢纽站点为核心构造高效集约的副城中心以及重点和特色城镇。（牵头单位：市自然资源和城乡建设局、武汉地铁集团；责任单位：市发展改革委、市住房和城市更新局、市交通运输局，各区人民政府）</w:t>
      </w:r>
    </w:p>
    <w:p>
      <w:pPr>
        <w:spacing w:after="0" w:line="560" w:lineRule="exact"/>
        <w:jc w:val="both"/>
        <w:rPr>
          <w:rFonts w:ascii="仿宋" w:hAnsi="仿宋" w:eastAsia="仿宋"/>
          <w:sz w:val="32"/>
          <w:szCs w:val="32"/>
        </w:rPr>
      </w:pPr>
      <w:r>
        <w:rPr>
          <w:rFonts w:hint="eastAsia" w:ascii="仿宋" w:hAnsi="仿宋" w:eastAsia="仿宋"/>
          <w:sz w:val="32"/>
          <w:szCs w:val="32"/>
        </w:rPr>
        <w:t>　　</w:t>
      </w:r>
      <w:r>
        <w:rPr>
          <w:rFonts w:hint="eastAsia" w:ascii="黑体" w:hAnsi="黑体" w:eastAsia="黑体"/>
          <w:sz w:val="32"/>
          <w:szCs w:val="32"/>
        </w:rPr>
        <w:t>三、严格刚性约束，控制新增建设用地规模</w:t>
      </w:r>
      <w:r>
        <w:rPr>
          <w:rFonts w:hint="eastAsia" w:ascii="仿宋" w:hAnsi="仿宋" w:eastAsia="仿宋"/>
          <w:sz w:val="32"/>
          <w:szCs w:val="32"/>
        </w:rPr>
        <w:br w:type="textWrapping"/>
      </w:r>
      <w:r>
        <w:rPr>
          <w:rFonts w:hint="eastAsia" w:ascii="仿宋" w:hAnsi="仿宋" w:eastAsia="仿宋"/>
          <w:sz w:val="32"/>
          <w:szCs w:val="32"/>
        </w:rPr>
        <w:t>　　（一）严格保护耕地。全面建立耕地保护目标责任体系，层层分解落实耕地保有量目标任务。压实耕地保护主体责任，各区人民政府主要负责人为耕地保护第一责任人。严格控制非农建设占用基本农田和耕地。坚决遏止耕地“非农化”，防止耕地“非粮化”，引导建设不占或者少占耕地，确需占用的，在新增建设用地报批前落实耕地占补平衡。（牵头单位：各区人民政府；责任单位：市自然资源和城乡建设局、市农业农村局）</w:t>
      </w:r>
    </w:p>
    <w:p>
      <w:pPr>
        <w:spacing w:after="0" w:line="560" w:lineRule="exact"/>
        <w:ind w:firstLine="640" w:firstLineChars="200"/>
        <w:jc w:val="both"/>
        <w:rPr>
          <w:rFonts w:ascii="楷体" w:hAnsi="楷体" w:eastAsia="楷体" w:cs="楷体"/>
          <w:bCs/>
          <w:i/>
          <w:iCs/>
          <w:sz w:val="32"/>
          <w:szCs w:val="32"/>
        </w:rPr>
      </w:pPr>
      <w:bookmarkStart w:id="1" w:name="OLE_LINK1"/>
      <w:r>
        <w:rPr>
          <w:rFonts w:hint="eastAsia" w:ascii="仿宋" w:hAnsi="仿宋" w:eastAsia="仿宋"/>
          <w:sz w:val="32"/>
          <w:szCs w:val="32"/>
        </w:rPr>
        <w:t>（二）强化增存挂钩</w:t>
      </w:r>
      <w:bookmarkEnd w:id="1"/>
      <w:r>
        <w:rPr>
          <w:rFonts w:hint="eastAsia" w:ascii="仿宋" w:hAnsi="仿宋" w:eastAsia="仿宋"/>
          <w:sz w:val="32"/>
          <w:szCs w:val="32"/>
        </w:rPr>
        <w:t>。加强增存联动，加大存量建设用地盘活力度，推进批而未供、闲置土地消化处置与新增建设用地计划、增减挂钩指标使用相挂钩。各区批而未供和闲置土地处置率未达到目标值的，暂停除国家、省、市重点项目和重要民生项目以外的项目用地审批，暂停新增建设用地计划预支和增减挂钩指标使用。（牵头单位：市自然资源和城乡建设局；责任单位：各区人民政府）</w:t>
      </w:r>
    </w:p>
    <w:p>
      <w:pPr>
        <w:spacing w:after="0" w:line="560" w:lineRule="exact"/>
        <w:ind w:firstLine="640" w:firstLineChars="200"/>
        <w:jc w:val="both"/>
        <w:rPr>
          <w:rFonts w:ascii="仿宋" w:hAnsi="仿宋" w:eastAsia="仿宋"/>
          <w:sz w:val="32"/>
          <w:szCs w:val="32"/>
        </w:rPr>
      </w:pPr>
      <w:r>
        <w:rPr>
          <w:rFonts w:hint="eastAsia" w:ascii="仿宋" w:hAnsi="仿宋" w:eastAsia="仿宋"/>
          <w:sz w:val="32"/>
          <w:szCs w:val="32"/>
        </w:rPr>
        <w:t>（三）完善新增建设用地计划管理。坚持计划跟着项目走，推动新增建设用地计划向实体经济投放、向重大项目倾斜、向工业园区和物流园区集中，新城区、开发区工业用地计划原则上安排在工业园区和物流园区。一般项目原则上通过工矿废弃地复垦、城乡建设用地增减挂钩等挖潜指标保障用地需求。（牵头单位：各区人民政府；责任单位：市自然资源和城乡建设局、市发展改革委、市经济和信息化局、市投资促进局、市住房和城市更新局、市交通运输局）</w:t>
      </w:r>
    </w:p>
    <w:p>
      <w:pPr>
        <w:spacing w:after="0" w:line="560" w:lineRule="exact"/>
        <w:ind w:firstLine="640" w:firstLineChars="200"/>
        <w:jc w:val="both"/>
        <w:rPr>
          <w:rFonts w:ascii="仿宋" w:hAnsi="仿宋" w:eastAsia="仿宋"/>
          <w:sz w:val="32"/>
          <w:szCs w:val="32"/>
        </w:rPr>
      </w:pPr>
      <w:bookmarkStart w:id="2" w:name="_Hlk220939493"/>
      <w:r>
        <w:rPr>
          <w:rFonts w:hint="eastAsia" w:ascii="黑体" w:hAnsi="黑体" w:eastAsia="黑体"/>
          <w:sz w:val="32"/>
          <w:szCs w:val="32"/>
        </w:rPr>
        <w:t>四、积极盘活存量，提高土地利用效益</w:t>
      </w:r>
      <w:r>
        <w:rPr>
          <w:rFonts w:hint="eastAsia" w:ascii="仿宋" w:hAnsi="仿宋" w:eastAsia="仿宋"/>
          <w:sz w:val="32"/>
          <w:szCs w:val="32"/>
        </w:rPr>
        <w:br w:type="textWrapping"/>
      </w:r>
      <w:bookmarkEnd w:id="2"/>
      <w:r>
        <w:rPr>
          <w:rFonts w:hint="eastAsia" w:ascii="仿宋" w:hAnsi="仿宋" w:eastAsia="仿宋"/>
          <w:sz w:val="32"/>
          <w:szCs w:val="32"/>
        </w:rPr>
        <w:t>　　（一）加强土地储备供应计划管理。加强土地储备计划、供应计划与城乡建设项目安排的衔接，根据国民经济和社会发展规划、国土空间规划等编制年度土地储备供应计划，优先将闲置、低效存量用地纳入计划。片区开发项目同步推进经营性土地和市政配套设施用地的储备，城建项目必须依规办理用地手续，形成储备、开发整理、供应有序联动。（牵头单位：各区人民政府，市自然资源和城乡建设局；责任单位：市财政局、市发展改革委）</w:t>
      </w:r>
    </w:p>
    <w:p>
      <w:pPr>
        <w:spacing w:after="0" w:line="560" w:lineRule="exact"/>
        <w:ind w:firstLine="640" w:firstLineChars="200"/>
        <w:jc w:val="both"/>
        <w:rPr>
          <w:rFonts w:ascii="仿宋" w:hAnsi="仿宋" w:eastAsia="仿宋"/>
          <w:sz w:val="32"/>
          <w:szCs w:val="32"/>
        </w:rPr>
      </w:pPr>
      <w:bookmarkStart w:id="3" w:name="_Hlk220939572"/>
      <w:r>
        <w:rPr>
          <w:rFonts w:hint="eastAsia" w:ascii="仿宋" w:hAnsi="仿宋" w:eastAsia="仿宋"/>
          <w:sz w:val="32"/>
          <w:szCs w:val="32"/>
        </w:rPr>
        <w:t>（二）强化土地储备和供应。加强组织领导，推动土地储备工作，按时完成储备任务。土地储备机构应严格实施“净地”供应，</w:t>
      </w:r>
      <w:r>
        <w:rPr>
          <w:rFonts w:hint="eastAsia" w:ascii="仿宋" w:hAnsi="仿宋" w:eastAsia="仿宋" w:cs="楷体"/>
          <w:bCs/>
          <w:sz w:val="32"/>
          <w:szCs w:val="32"/>
        </w:rPr>
        <w:t>发布出让公告或划拨公示时，应做到土地权属清晰、规划条件明确、安置补偿到位;签订出让合同或核发划拨决定书前，除需保留的建筑物、构筑物、古树名木等自然和人文遗产、景观资源外，场地应拆除平整，具备开工配套条件。城中村改造项目也要规范实施“净地”出让</w:t>
      </w:r>
      <w:r>
        <w:rPr>
          <w:rFonts w:hint="eastAsia" w:ascii="仿宋" w:hAnsi="仿宋" w:eastAsia="仿宋"/>
          <w:sz w:val="32"/>
          <w:szCs w:val="32"/>
        </w:rPr>
        <w:t>。规范土地储备资金使用管理，提高资金使用效率，完善土地储备成本分摊规则。创新储备土地前期开发整理与利用方式，建立储备土地管护制度。（牵头单位：各区人民政府；责任单位：市自然资源和城乡建设局、市财政局）</w:t>
      </w:r>
      <w:bookmarkEnd w:id="3"/>
    </w:p>
    <w:p>
      <w:pPr>
        <w:spacing w:after="0" w:line="560" w:lineRule="exact"/>
        <w:ind w:firstLine="640" w:firstLineChars="200"/>
        <w:jc w:val="both"/>
        <w:rPr>
          <w:rFonts w:ascii="仿宋" w:hAnsi="仿宋" w:eastAsia="仿宋"/>
          <w:sz w:val="32"/>
          <w:szCs w:val="32"/>
        </w:rPr>
      </w:pPr>
      <w:r>
        <w:rPr>
          <w:rFonts w:hint="eastAsia" w:ascii="仿宋" w:hAnsi="仿宋" w:eastAsia="仿宋"/>
          <w:sz w:val="32"/>
          <w:szCs w:val="32"/>
        </w:rPr>
        <w:t>（三）推进低效用地再开发。依据低效用地再开发专项规划，完善市级低效用地再开发项目库。探索低效用地退出机制。通过低效用地再开发完善配套和市政基础设施，提升社区养老、托育、教育、医疗等公共服务水平。（牵头单位：各区人民政府；责任单位：市自然资源和城乡建设局、市住房和城市更新局）</w:t>
      </w:r>
    </w:p>
    <w:p>
      <w:pPr>
        <w:spacing w:after="0" w:line="560" w:lineRule="exact"/>
        <w:ind w:firstLine="640" w:firstLineChars="200"/>
        <w:jc w:val="both"/>
        <w:rPr>
          <w:rFonts w:ascii="仿宋" w:hAnsi="仿宋" w:eastAsia="仿宋"/>
          <w:sz w:val="32"/>
          <w:szCs w:val="32"/>
        </w:rPr>
      </w:pPr>
      <w:bookmarkStart w:id="4" w:name="_Hlk220939602"/>
      <w:r>
        <w:rPr>
          <w:rFonts w:hint="eastAsia" w:ascii="仿宋" w:hAnsi="仿宋" w:eastAsia="仿宋"/>
          <w:sz w:val="32"/>
          <w:szCs w:val="32"/>
        </w:rPr>
        <w:t>（四）加快处置批而未供土地。将全市各区批而未供土地纳入“汉地云”招商平台优先招商地块，定期开展“以地招商”专题活动。严格落实国家、省有关批而未供土地消化处置要求，分区下达考核目标，按照“分类清理、图数一致、先易后难、逐步推进”原则，省级自然资源部门为主体，以市、县为单元开展清理认定，形成今后具备供应可能的建设用地批文清单和数据库。对不具备供应可能的建设用地批文，不纳入批而未供基数统计，并进行分类处置（牵头单位：各区人民政府；责任单位：市自然资源和城乡建设局）</w:t>
      </w:r>
    </w:p>
    <w:bookmarkEnd w:id="4"/>
    <w:p>
      <w:pPr>
        <w:spacing w:after="0" w:line="560" w:lineRule="exact"/>
        <w:ind w:firstLine="640" w:firstLineChars="200"/>
        <w:jc w:val="both"/>
        <w:rPr>
          <w:rFonts w:ascii="仿宋" w:hAnsi="仿宋" w:eastAsia="仿宋"/>
          <w:sz w:val="32"/>
          <w:szCs w:val="32"/>
        </w:rPr>
      </w:pPr>
      <w:r>
        <w:rPr>
          <w:rFonts w:hint="eastAsia" w:ascii="仿宋" w:hAnsi="仿宋" w:eastAsia="仿宋"/>
          <w:sz w:val="32"/>
          <w:szCs w:val="32"/>
        </w:rPr>
        <w:t>（五）加快处置闲置土地。开展闲置土地处置专项行动，全面清查闲置土地现状，建立闲置土地清单及消化处置工作台帐，分析闲置土地成因，推动闲置土地消化处置中的难点问题分类化解。深入推动闲置土地消化处置工作，确保完成国家、省下达的闲置土地消化处置目标任务。（牵头单位：各区人民政府；责任单位：市自然资源和城乡建设局）</w:t>
      </w:r>
    </w:p>
    <w:p>
      <w:pPr>
        <w:spacing w:after="0" w:line="560" w:lineRule="exact"/>
        <w:ind w:firstLine="640" w:firstLineChars="200"/>
        <w:jc w:val="both"/>
        <w:rPr>
          <w:rFonts w:ascii="仿宋" w:hAnsi="仿宋" w:eastAsia="仿宋"/>
          <w:sz w:val="32"/>
          <w:szCs w:val="32"/>
        </w:rPr>
      </w:pPr>
      <w:bookmarkStart w:id="5" w:name="_Hlk220939646"/>
      <w:r>
        <w:rPr>
          <w:rFonts w:hint="eastAsia" w:ascii="黑体" w:hAnsi="黑体" w:eastAsia="黑体"/>
          <w:sz w:val="32"/>
          <w:szCs w:val="32"/>
        </w:rPr>
        <w:t>五、发挥市场配置作用，提升资源利用效率</w:t>
      </w:r>
      <w:r>
        <w:rPr>
          <w:rFonts w:hint="eastAsia" w:ascii="仿宋" w:hAnsi="仿宋" w:eastAsia="仿宋"/>
          <w:sz w:val="32"/>
          <w:szCs w:val="32"/>
        </w:rPr>
        <w:br w:type="textWrapping"/>
      </w:r>
      <w:r>
        <w:rPr>
          <w:rFonts w:hint="eastAsia" w:ascii="仿宋" w:hAnsi="仿宋" w:eastAsia="仿宋"/>
          <w:sz w:val="32"/>
          <w:szCs w:val="32"/>
        </w:rPr>
        <w:t>　　（一）完善土地资源市场配置。全面推行国有建设用地使用权网上交易方式出让。因实现公共利益和城市功能需要，出让地块确需设置相应条件时，不得违背公平竞争的原则以及有关法律法规规定，各区人民政府应当加强相应出让条件履约监管，确保按约定落实。市自然资源和城乡建设部门联合各区人民政府积极推进公建、工业项目带规划方案挂牌出让，储备机构负责依法委托相关机构编制规划方案，委托费用列入储备成本。加强土地二级市场交易平台建设，完善市场规则，规范市场秩序，</w:t>
      </w:r>
      <w:r>
        <w:rPr>
          <w:rFonts w:hint="eastAsia" w:eastAsia="仿宋_GB2312"/>
          <w:sz w:val="32"/>
          <w:szCs w:val="32"/>
        </w:rPr>
        <w:t>对于项目投资额未达到2</w:t>
      </w:r>
      <w:r>
        <w:rPr>
          <w:rFonts w:eastAsia="仿宋_GB2312"/>
          <w:sz w:val="32"/>
          <w:szCs w:val="32"/>
        </w:rPr>
        <w:t>5</w:t>
      </w:r>
      <w:r>
        <w:rPr>
          <w:rFonts w:hint="eastAsia" w:eastAsia="仿宋_GB2312"/>
          <w:sz w:val="32"/>
          <w:szCs w:val="32"/>
        </w:rPr>
        <w:t>%的，支持预告登记转让</w:t>
      </w:r>
      <w:r>
        <w:rPr>
          <w:rFonts w:hint="eastAsia" w:ascii="仿宋" w:hAnsi="仿宋" w:eastAsia="仿宋"/>
          <w:sz w:val="32"/>
          <w:szCs w:val="32"/>
        </w:rPr>
        <w:t>。探索完善出让、租赁等多种形式的农村集体经营性建设用地入市，逐步建立城乡统一的建设用地交易市场。（牵头单位：市自然资源和城乡建设局；责任单位：各区人民政府）</w:t>
      </w:r>
    </w:p>
    <w:bookmarkEnd w:id="5"/>
    <w:p>
      <w:pPr>
        <w:spacing w:after="0" w:line="560" w:lineRule="exact"/>
        <w:ind w:firstLine="640" w:firstLineChars="200"/>
        <w:jc w:val="both"/>
        <w:rPr>
          <w:rFonts w:ascii="楷体" w:hAnsi="楷体" w:eastAsia="楷体" w:cs="楷体"/>
          <w:bCs/>
          <w:i/>
          <w:iCs/>
          <w:sz w:val="32"/>
          <w:szCs w:val="32"/>
        </w:rPr>
      </w:pPr>
      <w:r>
        <w:rPr>
          <w:rFonts w:hint="eastAsia" w:ascii="仿宋" w:hAnsi="仿宋" w:eastAsia="仿宋"/>
          <w:sz w:val="32"/>
          <w:szCs w:val="32"/>
        </w:rPr>
        <w:t>（二）优化产业用地供给方式。健全工业用地长期租赁、先租后让、弹性年期出让等供应体系，支持工业企业选择适宜的用地方式，降低企业的用地成本，鼓励建设多层标准厂房、高层厂房，满足产业发展用地需求。探索制定混合土地用途设定规则，依据国土空间详细规划确定主导土地用途、空间布局及比例，完善混合产业用地供给方式。（牵头单位：市自然资源和城乡建设局、市经济和信息化局；责任单位：各区人民政府）</w:t>
      </w:r>
    </w:p>
    <w:p>
      <w:pPr>
        <w:spacing w:after="0" w:line="560" w:lineRule="exact"/>
        <w:ind w:firstLine="640" w:firstLineChars="200"/>
        <w:jc w:val="both"/>
        <w:rPr>
          <w:rFonts w:ascii="仿宋" w:hAnsi="仿宋" w:eastAsia="仿宋"/>
          <w:sz w:val="32"/>
          <w:szCs w:val="32"/>
        </w:rPr>
      </w:pPr>
      <w:r>
        <w:rPr>
          <w:rFonts w:hint="eastAsia" w:ascii="仿宋" w:hAnsi="仿宋" w:eastAsia="仿宋"/>
          <w:sz w:val="32"/>
          <w:szCs w:val="32"/>
        </w:rPr>
        <w:t>（三）推行工业用地“标准地”出让。各区全面推行新增工业用地“标准地”出让制度，出让前明确工业项目建设用地主要控制指标，在土地招标拍卖挂牌出让公告中公布，实行“净地”出让。（牵头单位：各区人民政府；责任单位：市自然资源和城乡建设局）</w:t>
      </w:r>
    </w:p>
    <w:p>
      <w:pPr>
        <w:spacing w:after="0" w:line="560" w:lineRule="exact"/>
        <w:ind w:firstLine="640" w:firstLineChars="200"/>
        <w:jc w:val="both"/>
        <w:rPr>
          <w:rFonts w:ascii="仿宋" w:hAnsi="仿宋" w:eastAsia="仿宋"/>
          <w:sz w:val="32"/>
          <w:szCs w:val="32"/>
        </w:rPr>
      </w:pPr>
      <w:r>
        <w:rPr>
          <w:rFonts w:hint="eastAsia" w:ascii="仿宋" w:hAnsi="仿宋" w:eastAsia="仿宋"/>
          <w:sz w:val="32"/>
          <w:szCs w:val="32"/>
        </w:rPr>
        <w:t>(四)推进自然资源资产组合供应。以自然资源资产富集片区为重点，有序摸清自然资源资产底数和产权状况，科学编制自然资源资产配置方案，强化与国土空间规划的协同反馈，通过整体储备、设权赋能、价值评估等形成主体明确、边界清晰的自然资源资产组合标的，推动自然资源资产组合供应和公开交易，注重产业导入、加强监测监管，促进资产配置效率最优化和效益最大化。(牵头单位:市自然资源和建设局;责任单位: 各区人民政府)</w:t>
      </w:r>
    </w:p>
    <w:p>
      <w:pPr>
        <w:spacing w:after="0" w:line="560" w:lineRule="exact"/>
        <w:ind w:firstLine="640" w:firstLineChars="200"/>
        <w:jc w:val="both"/>
        <w:rPr>
          <w:rFonts w:ascii="仿宋" w:hAnsi="仿宋" w:eastAsia="仿宋"/>
          <w:sz w:val="32"/>
          <w:szCs w:val="32"/>
        </w:rPr>
      </w:pPr>
      <w:r>
        <w:rPr>
          <w:rFonts w:hint="eastAsia" w:ascii="仿宋" w:hAnsi="仿宋" w:eastAsia="仿宋"/>
          <w:sz w:val="32"/>
          <w:szCs w:val="32"/>
        </w:rPr>
        <w:t xml:space="preserve">(五)探索空间资产高效运营。按照“能售则售，不售则租，不租则融，以用为先”原则，建立事企协作联动、供用有机结合的空间资产运营机制。探索储备土地短期开发利用及委托经营等模式，实现近期盘活与国土空间规划长远结合、有机衔接，着力提升空间资产运营效能和价值转化水平。(牵头单位:市政府国资委、市自然资源和城建局、市财政局;责任单位:各区人民政府) </w:t>
      </w:r>
    </w:p>
    <w:p>
      <w:pPr>
        <w:spacing w:after="0" w:line="560" w:lineRule="exact"/>
        <w:ind w:firstLine="640" w:firstLineChars="200"/>
        <w:jc w:val="both"/>
        <w:rPr>
          <w:rFonts w:ascii="黑体" w:hAnsi="黑体" w:eastAsia="黑体"/>
          <w:sz w:val="32"/>
          <w:szCs w:val="32"/>
        </w:rPr>
      </w:pPr>
      <w:r>
        <w:rPr>
          <w:rFonts w:hint="eastAsia" w:ascii="黑体" w:hAnsi="黑体" w:eastAsia="黑体"/>
          <w:sz w:val="32"/>
          <w:szCs w:val="32"/>
        </w:rPr>
        <w:t>六、强化标准约束，实施全流程监管</w:t>
      </w:r>
      <w:r>
        <w:rPr>
          <w:rFonts w:hint="eastAsia" w:ascii="仿宋" w:hAnsi="仿宋" w:eastAsia="仿宋"/>
          <w:sz w:val="32"/>
          <w:szCs w:val="32"/>
        </w:rPr>
        <w:br w:type="textWrapping"/>
      </w:r>
      <w:r>
        <w:rPr>
          <w:rFonts w:hint="eastAsia" w:ascii="仿宋" w:hAnsi="仿宋" w:eastAsia="仿宋"/>
          <w:sz w:val="32"/>
          <w:szCs w:val="32"/>
        </w:rPr>
        <w:t>　　（一）严格执行用地标准。充分发挥建设用地预审对项目的前端控制作用，用地面积定额标准有浮动区间的各类建设项目，用地总面积在建设用地预审时原则上以最小额基准线进行控制。产业用地控制标准不得低于国家和省制定的用地控制指标以及相应行业土地使用标准。（牵头单位：各区人民政府；责任单位：市自然资源和城乡建设局、市经济和信息化局）</w:t>
      </w:r>
    </w:p>
    <w:p>
      <w:pPr>
        <w:spacing w:after="0" w:line="560" w:lineRule="exact"/>
        <w:ind w:firstLine="640" w:firstLineChars="200"/>
        <w:jc w:val="both"/>
        <w:rPr>
          <w:rFonts w:ascii="楷体" w:hAnsi="楷体" w:eastAsia="楷体" w:cs="楷体"/>
          <w:bCs/>
          <w:i/>
          <w:iCs/>
          <w:sz w:val="32"/>
          <w:szCs w:val="32"/>
        </w:rPr>
      </w:pPr>
      <w:r>
        <w:rPr>
          <w:rFonts w:hint="eastAsia" w:ascii="仿宋" w:hAnsi="仿宋" w:eastAsia="仿宋"/>
          <w:sz w:val="32"/>
          <w:szCs w:val="32"/>
        </w:rPr>
        <w:t>（二）完善招商项目工作机制。编制存量建设用地招商地图，采取线上线下互动一体模式，实现“地找项目”，加快推进现有土地资源开发利用。对招商项目的投资强度、产出水平、纳税能力、企业实力、落地风险等进行综合审查，确保新建项目的质量。（牵头单位：各区人民政府；责任单位：市发展改革委、市经济和信息化局、市投资促进局、市自然资源和城乡建设局）</w:t>
      </w:r>
    </w:p>
    <w:p>
      <w:pPr>
        <w:spacing w:after="0" w:line="560" w:lineRule="exact"/>
        <w:ind w:firstLine="640" w:firstLineChars="200"/>
        <w:jc w:val="both"/>
        <w:rPr>
          <w:rFonts w:ascii="仿宋" w:hAnsi="仿宋" w:eastAsia="仿宋"/>
          <w:sz w:val="32"/>
          <w:szCs w:val="32"/>
        </w:rPr>
      </w:pPr>
      <w:r>
        <w:rPr>
          <w:rFonts w:hint="eastAsia" w:ascii="仿宋" w:hAnsi="仿宋" w:eastAsia="仿宋"/>
          <w:sz w:val="32"/>
          <w:szCs w:val="32"/>
        </w:rPr>
        <w:t>（三）完善执法监管体系。实行土地执法监察网格化管理，完善执法监管体系，建立健全覆盖到街乡镇、村社区、村民小组的三级国土资源监管体系，推进执法关口前移，采取提前介入的工作方式，强化日常动态巡查。加强对自然资源开发保护与节约集约利用情况的审计监督。（牵头单位：各区人民政府；责任单位：市自然资源和城乡建设局、市审计局）</w:t>
      </w:r>
    </w:p>
    <w:p>
      <w:pPr>
        <w:spacing w:after="0" w:line="560" w:lineRule="exact"/>
        <w:ind w:firstLine="640" w:firstLineChars="200"/>
        <w:jc w:val="both"/>
        <w:rPr>
          <w:rFonts w:ascii="仿宋" w:hAnsi="仿宋" w:eastAsia="仿宋"/>
          <w:sz w:val="32"/>
          <w:szCs w:val="32"/>
        </w:rPr>
      </w:pPr>
      <w:r>
        <w:rPr>
          <w:rFonts w:hint="eastAsia" w:ascii="仿宋" w:hAnsi="仿宋" w:eastAsia="仿宋"/>
          <w:sz w:val="32"/>
          <w:szCs w:val="32"/>
        </w:rPr>
        <w:t>（四）实施项目联审监管。建立由发展改革、经济和信息化、自然资源和城建、生态环境、招商、交通运输等部门参加的联席审查制度，同步对新上的重大项目规划选址、产业政策、固定资产投资、能耗、环境、用地标准等进行论证，对达到标准的，签订投资建设合同，约定项目投资强度、税收、容积率等，明确项目履约监管主体、监管措施、违约处理方式，从源头上保证项目质量。（牵头单位：各区人民政府；责任单位：市发展改革委、市经济和信息化局、市财政局、市自然资源和城乡建设局、市生态环境局、市投资促进局、市交通运输局）、</w:t>
      </w:r>
      <w:r>
        <w:rPr>
          <w:rFonts w:hint="eastAsia" w:ascii="仿宋" w:hAnsi="仿宋" w:eastAsia="仿宋"/>
          <w:sz w:val="32"/>
          <w:szCs w:val="32"/>
        </w:rPr>
        <w:br w:type="textWrapping"/>
      </w:r>
      <w:r>
        <w:rPr>
          <w:rFonts w:hint="eastAsia" w:ascii="仿宋" w:hAnsi="仿宋" w:eastAsia="仿宋"/>
          <w:sz w:val="32"/>
          <w:szCs w:val="32"/>
        </w:rPr>
        <w:t>　　</w:t>
      </w:r>
    </w:p>
    <w:p>
      <w:pPr>
        <w:spacing w:after="0" w:line="560" w:lineRule="exact"/>
        <w:ind w:firstLine="640" w:firstLineChars="200"/>
        <w:jc w:val="both"/>
        <w:rPr>
          <w:rFonts w:ascii="楷体" w:hAnsi="楷体" w:eastAsia="楷体" w:cs="楷体"/>
          <w:bCs/>
          <w:i/>
          <w:iCs/>
          <w:sz w:val="32"/>
          <w:szCs w:val="32"/>
        </w:rPr>
      </w:pPr>
      <w:r>
        <w:rPr>
          <w:rFonts w:hint="eastAsia" w:ascii="仿宋" w:hAnsi="仿宋" w:eastAsia="仿宋"/>
          <w:sz w:val="32"/>
          <w:szCs w:val="32"/>
        </w:rPr>
        <w:t>本意见自  年  月  日起施行，有效期为5年。</w:t>
      </w:r>
      <w:r>
        <w:rPr>
          <w:rFonts w:hint="eastAsia" w:ascii="仿宋" w:hAnsi="仿宋" w:eastAsia="仿宋"/>
          <w:sz w:val="32"/>
          <w:szCs w:val="32"/>
        </w:rPr>
        <w:br w:type="textWrapping"/>
      </w:r>
      <w:r>
        <w:rPr>
          <w:rFonts w:hint="eastAsia" w:ascii="仿宋" w:hAnsi="仿宋" w:eastAsia="仿宋"/>
          <w:sz w:val="32"/>
          <w:szCs w:val="32"/>
        </w:rPr>
        <w:t>　　附件：全市土地节约集约高效利用实施细则</w:t>
      </w:r>
    </w:p>
    <w:p>
      <w:pPr>
        <w:spacing w:after="0" w:line="560" w:lineRule="exact"/>
        <w:ind w:firstLine="640" w:firstLineChars="200"/>
        <w:jc w:val="right"/>
        <w:rPr>
          <w:rFonts w:ascii="仿宋" w:hAnsi="仿宋" w:eastAsia="仿宋"/>
          <w:sz w:val="32"/>
          <w:szCs w:val="32"/>
        </w:rPr>
      </w:pPr>
      <w:r>
        <w:rPr>
          <w:rFonts w:hint="eastAsia" w:ascii="仿宋" w:hAnsi="仿宋" w:eastAsia="仿宋"/>
          <w:sz w:val="32"/>
          <w:szCs w:val="32"/>
        </w:rPr>
        <w:t>武汉市人民政府</w:t>
      </w:r>
      <w:r>
        <w:rPr>
          <w:rFonts w:hint="eastAsia" w:ascii="仿宋" w:hAnsi="仿宋" w:eastAsia="仿宋"/>
          <w:sz w:val="32"/>
          <w:szCs w:val="32"/>
        </w:rPr>
        <w:br w:type="textWrapping"/>
      </w:r>
      <w:r>
        <w:rPr>
          <w:rFonts w:hint="eastAsia" w:ascii="仿宋" w:hAnsi="仿宋" w:eastAsia="仿宋"/>
          <w:sz w:val="32"/>
          <w:szCs w:val="32"/>
        </w:rPr>
        <w:t>2026年 月 日</w:t>
      </w:r>
    </w:p>
    <w:p>
      <w:pPr>
        <w:spacing w:after="0" w:line="240" w:lineRule="auto"/>
        <w:jc w:val="both"/>
        <w:rPr>
          <w:rFonts w:ascii="宋体" w:hAnsi="宋体" w:eastAsia="宋体"/>
          <w:b/>
          <w:bCs/>
          <w:sz w:val="36"/>
          <w:szCs w:val="36"/>
        </w:rPr>
      </w:pPr>
      <w:r>
        <w:rPr>
          <w:rFonts w:hint="eastAsia" w:ascii="楷体" w:hAnsi="楷体" w:eastAsia="楷体" w:cs="楷体"/>
          <w:bCs/>
          <w:i/>
          <w:iCs/>
          <w:sz w:val="32"/>
          <w:szCs w:val="32"/>
        </w:rPr>
        <w:t>　</w:t>
      </w:r>
    </w:p>
    <w:p>
      <w:pPr>
        <w:widowControl/>
        <w:rPr>
          <w:rFonts w:ascii="宋体" w:hAnsi="宋体" w:eastAsia="宋体"/>
          <w:b/>
          <w:bCs/>
          <w:sz w:val="36"/>
          <w:szCs w:val="36"/>
        </w:rPr>
      </w:pPr>
      <w:r>
        <w:rPr>
          <w:rFonts w:hint="eastAsia" w:ascii="宋体" w:hAnsi="宋体" w:eastAsia="宋体"/>
          <w:b/>
          <w:bCs/>
          <w:sz w:val="36"/>
          <w:szCs w:val="36"/>
        </w:rPr>
        <w:br w:type="page"/>
      </w:r>
    </w:p>
    <w:p>
      <w:pPr>
        <w:spacing w:after="0" w:line="560" w:lineRule="exact"/>
        <w:jc w:val="center"/>
        <w:rPr>
          <w:rFonts w:ascii="宋体" w:hAnsi="宋体" w:eastAsia="宋体"/>
          <w:b/>
          <w:bCs/>
          <w:sz w:val="36"/>
          <w:szCs w:val="36"/>
        </w:rPr>
      </w:pPr>
      <w:r>
        <w:rPr>
          <w:rFonts w:hint="eastAsia" w:ascii="宋体" w:hAnsi="宋体" w:eastAsia="宋体"/>
          <w:b/>
          <w:bCs/>
          <w:sz w:val="36"/>
          <w:szCs w:val="36"/>
        </w:rPr>
        <w:t>全市土地节约集约高效利用实施细则</w:t>
      </w:r>
    </w:p>
    <w:p>
      <w:pPr>
        <w:spacing w:after="0" w:line="560" w:lineRule="exact"/>
        <w:ind w:firstLine="720" w:firstLineChars="200"/>
        <w:jc w:val="both"/>
        <w:rPr>
          <w:rFonts w:ascii="宋体" w:hAnsi="宋体" w:eastAsia="宋体"/>
          <w:sz w:val="36"/>
          <w:szCs w:val="36"/>
        </w:rPr>
      </w:pPr>
    </w:p>
    <w:p>
      <w:pPr>
        <w:spacing w:after="0" w:line="560" w:lineRule="exact"/>
        <w:ind w:firstLine="640" w:firstLineChars="200"/>
        <w:jc w:val="both"/>
        <w:rPr>
          <w:rFonts w:ascii="仿宋" w:hAnsi="仿宋" w:eastAsia="仿宋"/>
          <w:sz w:val="32"/>
          <w:szCs w:val="32"/>
        </w:rPr>
      </w:pPr>
      <w:r>
        <w:rPr>
          <w:rFonts w:hint="eastAsia" w:ascii="仿宋" w:hAnsi="仿宋" w:eastAsia="仿宋"/>
          <w:sz w:val="32"/>
          <w:szCs w:val="32"/>
        </w:rPr>
        <w:t>为进一步提高我市土地节约集约利用水平，强化土地要素保障，规范土地市场行为，制定本实施细则。</w:t>
      </w:r>
      <w:r>
        <w:rPr>
          <w:rFonts w:hint="eastAsia" w:ascii="仿宋" w:hAnsi="仿宋" w:eastAsia="仿宋"/>
          <w:sz w:val="32"/>
          <w:szCs w:val="32"/>
        </w:rPr>
        <w:br w:type="textWrapping"/>
      </w:r>
      <w:r>
        <w:rPr>
          <w:rFonts w:hint="eastAsia" w:ascii="仿宋" w:hAnsi="仿宋" w:eastAsia="仿宋"/>
          <w:sz w:val="32"/>
          <w:szCs w:val="32"/>
        </w:rPr>
        <w:t>　</w:t>
      </w:r>
      <w:r>
        <w:rPr>
          <w:rFonts w:hint="eastAsia" w:ascii="黑体" w:hAnsi="黑体" w:eastAsia="黑体"/>
          <w:sz w:val="32"/>
          <w:szCs w:val="32"/>
        </w:rPr>
        <w:t>　一、完善</w:t>
      </w:r>
      <w:bookmarkStart w:id="6" w:name="_Hlk218698546"/>
      <w:r>
        <w:rPr>
          <w:rFonts w:hint="eastAsia" w:ascii="黑体" w:hAnsi="黑体" w:eastAsia="黑体"/>
          <w:sz w:val="32"/>
          <w:szCs w:val="32"/>
        </w:rPr>
        <w:t>土地有偿使用制度</w:t>
      </w:r>
      <w:bookmarkEnd w:id="6"/>
      <w:r>
        <w:rPr>
          <w:rFonts w:hint="eastAsia" w:ascii="仿宋" w:hAnsi="仿宋" w:eastAsia="仿宋"/>
          <w:sz w:val="32"/>
          <w:szCs w:val="32"/>
        </w:rPr>
        <w:br w:type="textWrapping"/>
      </w:r>
      <w:r>
        <w:rPr>
          <w:rFonts w:hint="eastAsia" w:ascii="仿宋" w:hAnsi="仿宋" w:eastAsia="仿宋"/>
          <w:sz w:val="32"/>
          <w:szCs w:val="32"/>
        </w:rPr>
        <w:t>　　</w:t>
      </w:r>
      <w:r>
        <w:rPr>
          <w:rFonts w:hint="eastAsia" w:ascii="楷体" w:hAnsi="楷体" w:eastAsia="楷体"/>
          <w:sz w:val="32"/>
          <w:szCs w:val="32"/>
        </w:rPr>
        <w:t>（一）国有土地公开出让范围</w:t>
      </w:r>
      <w:r>
        <w:rPr>
          <w:rFonts w:hint="eastAsia" w:ascii="楷体" w:hAnsi="楷体" w:eastAsia="楷体"/>
          <w:sz w:val="32"/>
          <w:szCs w:val="32"/>
        </w:rPr>
        <w:br w:type="textWrapping"/>
      </w:r>
      <w:r>
        <w:rPr>
          <w:rFonts w:hint="eastAsia" w:ascii="仿宋" w:hAnsi="仿宋" w:eastAsia="仿宋"/>
          <w:sz w:val="32"/>
          <w:szCs w:val="32"/>
        </w:rPr>
        <w:t>　　发挥市场资源配置作用，下列情形必须以招标、拍卖、挂牌等公开竞价方式出让土地：</w:t>
      </w:r>
      <w:r>
        <w:rPr>
          <w:rFonts w:hint="eastAsia" w:ascii="仿宋" w:hAnsi="仿宋" w:eastAsia="仿宋"/>
          <w:sz w:val="32"/>
          <w:szCs w:val="32"/>
        </w:rPr>
        <w:br w:type="textWrapping"/>
      </w:r>
      <w:r>
        <w:rPr>
          <w:rFonts w:hint="eastAsia" w:ascii="仿宋" w:hAnsi="仿宋" w:eastAsia="仿宋"/>
          <w:sz w:val="32"/>
          <w:szCs w:val="32"/>
        </w:rPr>
        <w:t>　　1．用于工业、商业、旅游、娱乐、商品住宅等经营性建设的储备土地和新增建设用地；</w:t>
      </w:r>
      <w:r>
        <w:rPr>
          <w:rFonts w:hint="eastAsia" w:ascii="仿宋" w:hAnsi="仿宋" w:eastAsia="仿宋"/>
          <w:sz w:val="32"/>
          <w:szCs w:val="32"/>
        </w:rPr>
        <w:br w:type="textWrapping"/>
      </w:r>
      <w:r>
        <w:rPr>
          <w:rFonts w:hint="eastAsia" w:ascii="仿宋" w:hAnsi="仿宋" w:eastAsia="仿宋"/>
          <w:sz w:val="32"/>
          <w:szCs w:val="32"/>
        </w:rPr>
        <w:t>　　2．进行商品住宅建设的存量土地；</w:t>
      </w:r>
      <w:r>
        <w:rPr>
          <w:rFonts w:hint="eastAsia" w:ascii="仿宋" w:hAnsi="仿宋" w:eastAsia="仿宋"/>
          <w:sz w:val="32"/>
          <w:szCs w:val="32"/>
        </w:rPr>
        <w:br w:type="textWrapping"/>
      </w:r>
      <w:r>
        <w:rPr>
          <w:rFonts w:hint="eastAsia" w:ascii="仿宋" w:hAnsi="仿宋" w:eastAsia="仿宋"/>
          <w:sz w:val="32"/>
          <w:szCs w:val="32"/>
        </w:rPr>
        <w:t>　　3．有2个及以上意向用地者的土地；</w:t>
      </w:r>
      <w:r>
        <w:rPr>
          <w:rFonts w:hint="eastAsia" w:ascii="仿宋" w:hAnsi="仿宋" w:eastAsia="仿宋"/>
          <w:sz w:val="32"/>
          <w:szCs w:val="32"/>
        </w:rPr>
        <w:br w:type="textWrapping"/>
      </w:r>
      <w:r>
        <w:rPr>
          <w:rFonts w:hint="eastAsia" w:ascii="仿宋" w:hAnsi="仿宋" w:eastAsia="仿宋"/>
          <w:sz w:val="32"/>
          <w:szCs w:val="32"/>
        </w:rPr>
        <w:t>　　4．有关法律法规规定的其他应当以招标、拍卖、挂牌方式出让的土地。</w:t>
      </w:r>
    </w:p>
    <w:p>
      <w:pPr>
        <w:spacing w:after="0" w:line="560" w:lineRule="exact"/>
        <w:ind w:firstLine="640" w:firstLineChars="200"/>
        <w:jc w:val="both"/>
        <w:rPr>
          <w:rFonts w:ascii="仿宋" w:hAnsi="仿宋" w:eastAsia="仿宋"/>
          <w:sz w:val="32"/>
          <w:szCs w:val="32"/>
        </w:rPr>
      </w:pPr>
      <w:r>
        <w:rPr>
          <w:rFonts w:hint="eastAsia" w:ascii="楷体" w:hAnsi="楷体" w:eastAsia="楷体"/>
          <w:sz w:val="32"/>
          <w:szCs w:val="32"/>
        </w:rPr>
        <w:t>（二）国有土地协议出让范围</w:t>
      </w:r>
      <w:r>
        <w:rPr>
          <w:rFonts w:hint="eastAsia" w:ascii="楷体" w:hAnsi="楷体" w:eastAsia="楷体"/>
          <w:sz w:val="32"/>
          <w:szCs w:val="32"/>
        </w:rPr>
        <w:br w:type="textWrapping"/>
      </w:r>
      <w:r>
        <w:rPr>
          <w:rFonts w:hint="eastAsia" w:ascii="仿宋" w:hAnsi="仿宋" w:eastAsia="仿宋"/>
          <w:sz w:val="32"/>
          <w:szCs w:val="32"/>
        </w:rPr>
        <w:t>　　国家没有明确规定必须以招标、拍卖、挂牌方式出让的，下列情形可以采取协议方式出让土地：</w:t>
      </w:r>
      <w:r>
        <w:rPr>
          <w:rFonts w:hint="eastAsia" w:ascii="仿宋" w:hAnsi="仿宋" w:eastAsia="仿宋"/>
          <w:sz w:val="32"/>
          <w:szCs w:val="32"/>
        </w:rPr>
        <w:br w:type="textWrapping"/>
      </w:r>
      <w:r>
        <w:rPr>
          <w:rFonts w:hint="eastAsia" w:ascii="仿宋" w:hAnsi="仿宋" w:eastAsia="仿宋"/>
          <w:sz w:val="32"/>
          <w:szCs w:val="32"/>
        </w:rPr>
        <w:t>　　1．原划拨、租赁用地项目符合规划，且不改变原土地用途、使用强度等现状条件补办出让的用地，法律法规、原划拨决定书及原土地出让合同有明确约定需要收回的除外;</w:t>
      </w:r>
    </w:p>
    <w:p>
      <w:pPr>
        <w:spacing w:after="0" w:line="560" w:lineRule="exact"/>
        <w:ind w:firstLine="640" w:firstLineChars="200"/>
        <w:jc w:val="both"/>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 xml:space="preserve">.项目符合划拨用地条件，建设单位申请有偿使用的用地; </w:t>
      </w:r>
      <w:r>
        <w:rPr>
          <w:rFonts w:hint="eastAsia" w:ascii="仿宋" w:hAnsi="仿宋" w:eastAsia="仿宋"/>
          <w:sz w:val="32"/>
          <w:szCs w:val="32"/>
        </w:rPr>
        <w:br w:type="textWrapping"/>
      </w:r>
      <w:r>
        <w:rPr>
          <w:rFonts w:hint="eastAsia" w:ascii="仿宋" w:hAnsi="仿宋" w:eastAsia="仿宋"/>
          <w:sz w:val="32"/>
          <w:szCs w:val="32"/>
        </w:rPr>
        <w:t>　　</w:t>
      </w:r>
      <w:r>
        <w:rPr>
          <w:rFonts w:ascii="仿宋" w:hAnsi="仿宋" w:eastAsia="仿宋"/>
          <w:sz w:val="32"/>
          <w:szCs w:val="32"/>
        </w:rPr>
        <w:t>3</w:t>
      </w:r>
      <w:r>
        <w:rPr>
          <w:rFonts w:hint="eastAsia" w:ascii="仿宋" w:hAnsi="仿宋" w:eastAsia="仿宋"/>
          <w:sz w:val="32"/>
          <w:szCs w:val="32"/>
        </w:rPr>
        <w:t>.经营性项目相邻地块，因土地面积偏小或者形状不规则等情形，经自然资源和城乡建设部门确认难以独立利用的用地</w:t>
      </w:r>
      <w:r>
        <w:rPr>
          <w:rFonts w:hint="eastAsia" w:ascii="仿宋" w:hAnsi="仿宋" w:eastAsia="仿宋" w:cs="楷体"/>
          <w:bCs/>
          <w:sz w:val="32"/>
          <w:szCs w:val="32"/>
        </w:rPr>
        <w:t>（商品住宅用地除外）</w:t>
      </w:r>
      <w:r>
        <w:rPr>
          <w:rFonts w:hint="eastAsia" w:ascii="仿宋" w:hAnsi="仿宋" w:eastAsia="仿宋"/>
          <w:sz w:val="32"/>
          <w:szCs w:val="32"/>
        </w:rPr>
        <w:t xml:space="preserve">； </w:t>
      </w:r>
    </w:p>
    <w:p>
      <w:pPr>
        <w:spacing w:after="0" w:line="560" w:lineRule="exact"/>
        <w:ind w:firstLine="640" w:firstLineChars="200"/>
        <w:jc w:val="both"/>
        <w:rPr>
          <w:rFonts w:ascii="楷体" w:hAnsi="楷体" w:eastAsia="楷体" w:cs="楷体"/>
          <w:bCs/>
          <w:i/>
          <w:iCs/>
          <w:sz w:val="32"/>
          <w:szCs w:val="32"/>
        </w:rPr>
      </w:pPr>
      <w:r>
        <w:rPr>
          <w:rFonts w:ascii="仿宋" w:hAnsi="仿宋" w:eastAsia="仿宋"/>
          <w:sz w:val="32"/>
          <w:szCs w:val="32"/>
        </w:rPr>
        <w:t>4</w:t>
      </w:r>
      <w:r>
        <w:rPr>
          <w:rFonts w:hint="eastAsia" w:ascii="仿宋" w:hAnsi="仿宋" w:eastAsia="仿宋"/>
          <w:sz w:val="32"/>
          <w:szCs w:val="32"/>
        </w:rPr>
        <w:t>.市人民政府确认的历史遗留项目中的轨道交通工程建设项目，轨道交通工程及施工用地按照划拨方式供地的，其相关物业用地可以采用协议出让方式供地。轨道交通工程新建的联合开发配套型物业可以采用协议出让方式供地；</w:t>
      </w:r>
      <w:r>
        <w:rPr>
          <w:rFonts w:hint="eastAsia" w:ascii="楷体" w:hAnsi="楷体" w:eastAsia="楷体" w:cs="楷体"/>
          <w:bCs/>
          <w:i/>
          <w:iCs/>
          <w:sz w:val="32"/>
          <w:szCs w:val="32"/>
        </w:rPr>
        <w:t xml:space="preserve"> </w:t>
      </w:r>
    </w:p>
    <w:p>
      <w:pPr>
        <w:spacing w:after="0" w:line="560" w:lineRule="exact"/>
        <w:ind w:firstLine="640" w:firstLineChars="200"/>
        <w:jc w:val="both"/>
        <w:rPr>
          <w:rFonts w:ascii="楷体" w:hAnsi="楷体" w:eastAsia="楷体" w:cs="楷体"/>
          <w:bCs/>
          <w:i/>
          <w:iCs/>
          <w:sz w:val="32"/>
          <w:szCs w:val="32"/>
        </w:rPr>
      </w:pPr>
      <w:r>
        <w:rPr>
          <w:rFonts w:ascii="仿宋" w:hAnsi="仿宋" w:eastAsia="仿宋"/>
          <w:sz w:val="32"/>
          <w:szCs w:val="32"/>
        </w:rPr>
        <w:t>5</w:t>
      </w:r>
      <w:r>
        <w:rPr>
          <w:rFonts w:hint="eastAsia" w:ascii="仿宋" w:hAnsi="仿宋" w:eastAsia="仿宋"/>
          <w:sz w:val="32"/>
          <w:szCs w:val="32"/>
        </w:rPr>
        <w:t>.利用存量土地建设租赁住房的用地，原有划拨土地按照协议出让方式供地，原有出让土地按照新规划用途办理变更手续；</w:t>
      </w:r>
      <w:r>
        <w:rPr>
          <w:rFonts w:hint="eastAsia" w:ascii="楷体" w:hAnsi="楷体" w:eastAsia="楷体" w:cs="楷体"/>
          <w:bCs/>
          <w:i/>
          <w:iCs/>
          <w:sz w:val="32"/>
          <w:szCs w:val="32"/>
        </w:rPr>
        <w:t xml:space="preserve"> </w:t>
      </w:r>
    </w:p>
    <w:p>
      <w:pPr>
        <w:spacing w:after="0" w:line="560" w:lineRule="exact"/>
        <w:ind w:firstLine="640" w:firstLineChars="200"/>
        <w:jc w:val="both"/>
        <w:rPr>
          <w:rFonts w:ascii="楷体" w:hAnsi="楷体" w:eastAsia="楷体" w:cs="楷体"/>
          <w:bCs/>
          <w:i/>
          <w:iCs/>
          <w:sz w:val="32"/>
          <w:szCs w:val="32"/>
        </w:rPr>
      </w:pPr>
      <w:r>
        <w:rPr>
          <w:rFonts w:ascii="仿宋" w:hAnsi="仿宋" w:eastAsia="仿宋"/>
          <w:sz w:val="32"/>
          <w:szCs w:val="32"/>
        </w:rPr>
        <w:t>6</w:t>
      </w:r>
      <w:r>
        <w:rPr>
          <w:rFonts w:hint="eastAsia" w:ascii="仿宋" w:hAnsi="仿宋" w:eastAsia="仿宋"/>
          <w:sz w:val="32"/>
          <w:szCs w:val="32"/>
        </w:rPr>
        <w:t>.地下通道和地上连廊等联通项目的用地，其中，符合划拨用地目录的除外；</w:t>
      </w:r>
      <w:r>
        <w:rPr>
          <w:rFonts w:ascii="楷体" w:hAnsi="楷体" w:eastAsia="楷体" w:cs="楷体"/>
          <w:bCs/>
          <w:i/>
          <w:iCs/>
          <w:sz w:val="32"/>
          <w:szCs w:val="32"/>
        </w:rPr>
        <w:t xml:space="preserve"> </w:t>
      </w:r>
    </w:p>
    <w:p>
      <w:pPr>
        <w:spacing w:after="0" w:line="560" w:lineRule="exact"/>
        <w:ind w:firstLine="640" w:firstLineChars="200"/>
        <w:jc w:val="both"/>
        <w:rPr>
          <w:rFonts w:ascii="楷体" w:hAnsi="楷体" w:eastAsia="楷体" w:cs="楷体"/>
          <w:bCs/>
          <w:i/>
          <w:iCs/>
          <w:sz w:val="32"/>
          <w:szCs w:val="32"/>
        </w:rPr>
      </w:pPr>
      <w:r>
        <w:rPr>
          <w:rFonts w:ascii="仿宋" w:hAnsi="仿宋" w:eastAsia="仿宋" w:cs="楷体"/>
          <w:sz w:val="32"/>
          <w:szCs w:val="32"/>
        </w:rPr>
        <w:t>7</w:t>
      </w:r>
      <w:r>
        <w:rPr>
          <w:rFonts w:hint="eastAsia" w:ascii="仿宋" w:hAnsi="仿宋" w:eastAsia="仿宋" w:cs="楷体"/>
          <w:sz w:val="32"/>
          <w:szCs w:val="32"/>
        </w:rPr>
        <w:t>.</w:t>
      </w:r>
      <w:r>
        <w:rPr>
          <w:rFonts w:hint="eastAsia" w:ascii="仿宋" w:hAnsi="仿宋" w:eastAsia="仿宋" w:cs="楷体"/>
          <w:bCs/>
          <w:sz w:val="32"/>
          <w:szCs w:val="32"/>
        </w:rPr>
        <w:t>地表国有建设用地使用权人利用自有用地开发建设地下空间项目的用地；</w:t>
      </w:r>
      <w:r>
        <w:rPr>
          <w:rFonts w:hint="eastAsia" w:ascii="楷体" w:hAnsi="楷体" w:eastAsia="楷体" w:cs="楷体"/>
          <w:bCs/>
          <w:i/>
          <w:iCs/>
          <w:sz w:val="32"/>
          <w:szCs w:val="32"/>
        </w:rPr>
        <w:t xml:space="preserve"> </w:t>
      </w:r>
    </w:p>
    <w:p>
      <w:pPr>
        <w:spacing w:after="0" w:line="560" w:lineRule="exact"/>
        <w:ind w:firstLine="640" w:firstLineChars="200"/>
        <w:jc w:val="both"/>
        <w:rPr>
          <w:rFonts w:ascii="楷体" w:hAnsi="楷体" w:eastAsia="楷体" w:cs="楷体"/>
          <w:bCs/>
          <w:i/>
          <w:iCs/>
          <w:sz w:val="32"/>
          <w:szCs w:val="32"/>
        </w:rPr>
      </w:pPr>
      <w:r>
        <w:rPr>
          <w:rFonts w:ascii="仿宋" w:hAnsi="仿宋" w:eastAsia="仿宋" w:cs="楷体"/>
          <w:bCs/>
          <w:sz w:val="32"/>
          <w:szCs w:val="32"/>
        </w:rPr>
        <w:t>8</w:t>
      </w:r>
      <w:r>
        <w:rPr>
          <w:rFonts w:hint="eastAsia" w:ascii="仿宋" w:hAnsi="仿宋" w:eastAsia="仿宋" w:cs="楷体"/>
          <w:bCs/>
          <w:sz w:val="32"/>
          <w:szCs w:val="32"/>
        </w:rPr>
        <w:t>.已纳入自然资源部低效用地上图成果库项目的用地（商品住宅除外），在符合国土空间规划的前提下，支持原土地使用权人按照规划用途实施低效用地再开发，按详细规划重新核定规划条件，经有批准权的政府批准后可以协议供地，法律法规、原划拨决定书及原土地出让合同有明确约定需要收回的除外；</w:t>
      </w:r>
    </w:p>
    <w:p>
      <w:pPr>
        <w:spacing w:after="0" w:line="560" w:lineRule="exact"/>
        <w:ind w:firstLine="640" w:firstLineChars="200"/>
        <w:jc w:val="both"/>
        <w:rPr>
          <w:rFonts w:ascii="楷体" w:hAnsi="楷体" w:eastAsia="楷体" w:cs="楷体"/>
          <w:i/>
          <w:iCs/>
          <w:sz w:val="32"/>
          <w:szCs w:val="32"/>
        </w:rPr>
      </w:pPr>
      <w:r>
        <w:rPr>
          <w:rFonts w:ascii="仿宋" w:hAnsi="仿宋" w:eastAsia="仿宋"/>
          <w:sz w:val="32"/>
          <w:szCs w:val="32"/>
        </w:rPr>
        <w:t>9</w:t>
      </w:r>
      <w:r>
        <w:rPr>
          <w:rFonts w:hint="eastAsia" w:ascii="仿宋" w:hAnsi="仿宋" w:eastAsia="仿宋"/>
          <w:sz w:val="32"/>
          <w:szCs w:val="32"/>
        </w:rPr>
        <w:t>.有关法律法规规定的其他可以以协议方式出让的土地。</w:t>
      </w:r>
    </w:p>
    <w:p>
      <w:pPr>
        <w:spacing w:after="0" w:line="560" w:lineRule="exact"/>
        <w:ind w:firstLine="640" w:firstLineChars="200"/>
        <w:jc w:val="both"/>
        <w:rPr>
          <w:rFonts w:ascii="仿宋" w:hAnsi="仿宋" w:eastAsia="仿宋"/>
          <w:sz w:val="32"/>
          <w:szCs w:val="32"/>
        </w:rPr>
      </w:pPr>
      <w:r>
        <w:rPr>
          <w:rFonts w:hint="eastAsia" w:ascii="楷体" w:hAnsi="楷体" w:eastAsia="楷体"/>
          <w:sz w:val="32"/>
          <w:szCs w:val="32"/>
        </w:rPr>
        <w:t>（三）国有土地租赁范围</w:t>
      </w:r>
      <w:r>
        <w:rPr>
          <w:rFonts w:hint="eastAsia" w:ascii="楷体" w:hAnsi="楷体" w:eastAsia="楷体"/>
          <w:sz w:val="32"/>
          <w:szCs w:val="32"/>
        </w:rPr>
        <w:br w:type="textWrapping"/>
      </w:r>
      <w:r>
        <w:rPr>
          <w:rFonts w:hint="eastAsia" w:ascii="仿宋" w:hAnsi="仿宋" w:eastAsia="仿宋"/>
          <w:sz w:val="32"/>
          <w:szCs w:val="32"/>
        </w:rPr>
        <w:t>　　1.工业用地、短期临时用地、企业改制用地等法律法规允许采取租赁方式供应的国有土地。</w:t>
      </w:r>
    </w:p>
    <w:p>
      <w:pPr>
        <w:spacing w:line="530" w:lineRule="exact"/>
        <w:ind w:firstLine="640" w:firstLineChars="200"/>
        <w:jc w:val="both"/>
        <w:rPr>
          <w:rFonts w:ascii="仿宋" w:hAnsi="仿宋" w:eastAsia="仿宋" w:cs="Times New Roman"/>
          <w:sz w:val="32"/>
          <w:szCs w:val="32"/>
        </w:rPr>
      </w:pPr>
      <w:r>
        <w:rPr>
          <w:rFonts w:hint="eastAsia" w:ascii="仿宋" w:hAnsi="仿宋" w:eastAsia="仿宋"/>
          <w:sz w:val="32"/>
          <w:szCs w:val="32"/>
        </w:rPr>
        <w:t>2.下列情形可以按现状办理租赁手续</w:t>
      </w:r>
      <w:r>
        <w:rPr>
          <w:rFonts w:ascii="仿宋" w:hAnsi="仿宋" w:eastAsia="仿宋" w:cs="Times New Roman"/>
          <w:sz w:val="32"/>
          <w:szCs w:val="32"/>
        </w:rPr>
        <w:t>：</w:t>
      </w:r>
    </w:p>
    <w:p>
      <w:pPr>
        <w:spacing w:line="530" w:lineRule="exact"/>
        <w:ind w:firstLine="640" w:firstLineChars="200"/>
        <w:jc w:val="both"/>
        <w:rPr>
          <w:rFonts w:ascii="仿宋" w:hAnsi="仿宋" w:eastAsia="仿宋" w:cs="Times New Roman"/>
          <w:sz w:val="32"/>
          <w:szCs w:val="32"/>
        </w:rPr>
      </w:pPr>
      <w:r>
        <w:rPr>
          <w:rFonts w:ascii="仿宋" w:hAnsi="仿宋" w:eastAsia="仿宋" w:cs="Times New Roman"/>
          <w:sz w:val="32"/>
          <w:szCs w:val="32"/>
        </w:rPr>
        <w:t>（</w:t>
      </w:r>
      <w:r>
        <w:rPr>
          <w:rFonts w:hint="eastAsia" w:ascii="仿宋" w:hAnsi="仿宋" w:eastAsia="仿宋" w:cs="Times New Roman"/>
          <w:sz w:val="32"/>
          <w:szCs w:val="32"/>
        </w:rPr>
        <w:t>1</w:t>
      </w:r>
      <w:r>
        <w:rPr>
          <w:rFonts w:ascii="仿宋" w:hAnsi="仿宋" w:eastAsia="仿宋" w:cs="Times New Roman"/>
          <w:sz w:val="32"/>
          <w:szCs w:val="32"/>
        </w:rPr>
        <w:t>）因地块现状（证载土地用途）与城市规划不相符、地块形状不规则、共用宗、地块面积较小等，不宜独立出让的</w:t>
      </w:r>
      <w:r>
        <w:rPr>
          <w:rFonts w:hint="eastAsia" w:ascii="仿宋" w:hAnsi="仿宋" w:eastAsia="仿宋" w:cs="Times New Roman"/>
          <w:sz w:val="32"/>
          <w:szCs w:val="32"/>
        </w:rPr>
        <w:t>；</w:t>
      </w:r>
    </w:p>
    <w:p>
      <w:pPr>
        <w:spacing w:line="530" w:lineRule="exact"/>
        <w:ind w:firstLine="640" w:firstLineChars="200"/>
        <w:jc w:val="both"/>
        <w:rPr>
          <w:rFonts w:ascii="仿宋" w:hAnsi="仿宋" w:eastAsia="仿宋" w:cs="Times New Roman"/>
          <w:sz w:val="32"/>
          <w:szCs w:val="32"/>
        </w:rPr>
      </w:pPr>
      <w:r>
        <w:rPr>
          <w:rFonts w:ascii="仿宋" w:hAnsi="仿宋" w:eastAsia="仿宋" w:cs="Times New Roman"/>
          <w:sz w:val="32"/>
          <w:szCs w:val="32"/>
        </w:rPr>
        <w:t>（</w:t>
      </w:r>
      <w:r>
        <w:rPr>
          <w:rFonts w:hint="eastAsia" w:ascii="仿宋" w:hAnsi="仿宋" w:eastAsia="仿宋" w:cs="Times New Roman"/>
          <w:sz w:val="32"/>
          <w:szCs w:val="32"/>
        </w:rPr>
        <w:t>2</w:t>
      </w:r>
      <w:r>
        <w:rPr>
          <w:rFonts w:ascii="仿宋" w:hAnsi="仿宋" w:eastAsia="仿宋" w:cs="Times New Roman"/>
          <w:sz w:val="32"/>
          <w:szCs w:val="32"/>
        </w:rPr>
        <w:t>）已列入近3年房屋征收计划、土地储备计划</w:t>
      </w:r>
      <w:r>
        <w:rPr>
          <w:rFonts w:hint="eastAsia" w:ascii="仿宋" w:hAnsi="仿宋" w:eastAsia="仿宋" w:cs="Times New Roman"/>
          <w:sz w:val="32"/>
          <w:szCs w:val="32"/>
        </w:rPr>
        <w:t>的；</w:t>
      </w:r>
    </w:p>
    <w:p>
      <w:pPr>
        <w:spacing w:line="530" w:lineRule="exact"/>
        <w:ind w:firstLine="640" w:firstLineChars="200"/>
        <w:jc w:val="both"/>
        <w:rPr>
          <w:rFonts w:ascii="仿宋" w:hAnsi="仿宋" w:eastAsia="仿宋"/>
          <w:sz w:val="32"/>
          <w:szCs w:val="32"/>
        </w:rPr>
      </w:pPr>
      <w:r>
        <w:rPr>
          <w:rFonts w:ascii="仿宋" w:hAnsi="仿宋" w:eastAsia="仿宋" w:cs="Times New Roman"/>
          <w:sz w:val="32"/>
          <w:szCs w:val="32"/>
        </w:rPr>
        <w:t>（</w:t>
      </w:r>
      <w:r>
        <w:rPr>
          <w:rFonts w:hint="eastAsia" w:ascii="仿宋" w:hAnsi="仿宋" w:eastAsia="仿宋" w:cs="Times New Roman"/>
          <w:sz w:val="32"/>
          <w:szCs w:val="32"/>
        </w:rPr>
        <w:t>3</w:t>
      </w:r>
      <w:r>
        <w:rPr>
          <w:rFonts w:ascii="仿宋" w:hAnsi="仿宋" w:eastAsia="仿宋" w:cs="Times New Roman"/>
          <w:sz w:val="32"/>
          <w:szCs w:val="32"/>
        </w:rPr>
        <w:t>）其他法律法规规定可以办理租赁的。</w:t>
      </w:r>
    </w:p>
    <w:p>
      <w:pPr>
        <w:spacing w:after="0" w:line="560" w:lineRule="exact"/>
        <w:ind w:firstLine="640" w:firstLineChars="200"/>
        <w:jc w:val="both"/>
        <w:rPr>
          <w:rFonts w:ascii="仿宋" w:hAnsi="仿宋" w:eastAsia="仿宋"/>
          <w:sz w:val="32"/>
          <w:szCs w:val="32"/>
        </w:rPr>
      </w:pPr>
      <w:r>
        <w:rPr>
          <w:rFonts w:hint="eastAsia" w:ascii="楷体" w:hAnsi="楷体" w:eastAsia="楷体"/>
          <w:sz w:val="32"/>
          <w:szCs w:val="32"/>
        </w:rPr>
        <w:t>（四）国有土地授权经营、作价出资（入股）范围</w:t>
      </w:r>
      <w:r>
        <w:rPr>
          <w:rFonts w:hint="eastAsia" w:ascii="仿宋" w:hAnsi="仿宋" w:eastAsia="仿宋"/>
          <w:sz w:val="32"/>
          <w:szCs w:val="32"/>
        </w:rPr>
        <w:br w:type="textWrapping"/>
      </w:r>
      <w:r>
        <w:rPr>
          <w:rFonts w:hint="eastAsia" w:ascii="仿宋" w:hAnsi="仿宋" w:eastAsia="仿宋"/>
          <w:sz w:val="32"/>
          <w:szCs w:val="32"/>
        </w:rPr>
        <w:t>　　省级及以上人民政府批准实行授权经营或者国家控股公司试点的企业，可以采用授权经营、作价出资（入股）方式配置土地，其土地资产处置总体方案应当按照相关规定报批。</w:t>
      </w:r>
    </w:p>
    <w:p>
      <w:pPr>
        <w:spacing w:after="0" w:line="560" w:lineRule="exact"/>
        <w:ind w:firstLine="640" w:firstLineChars="200"/>
        <w:jc w:val="both"/>
        <w:rPr>
          <w:rFonts w:ascii="仿宋" w:hAnsi="仿宋" w:eastAsia="仿宋"/>
          <w:sz w:val="32"/>
          <w:szCs w:val="32"/>
        </w:rPr>
      </w:pPr>
      <w:r>
        <w:rPr>
          <w:rFonts w:hint="eastAsia" w:ascii="黑体" w:hAnsi="黑体" w:eastAsia="黑体"/>
          <w:sz w:val="32"/>
          <w:szCs w:val="32"/>
        </w:rPr>
        <w:t>二、严格限制划拨供应方式</w:t>
      </w:r>
      <w:r>
        <w:rPr>
          <w:rFonts w:hint="eastAsia" w:ascii="仿宋" w:hAnsi="仿宋" w:eastAsia="仿宋"/>
          <w:sz w:val="32"/>
          <w:szCs w:val="32"/>
        </w:rPr>
        <w:br w:type="textWrapping"/>
      </w:r>
      <w:r>
        <w:rPr>
          <w:rFonts w:hint="eastAsia" w:ascii="仿宋" w:hAnsi="仿宋" w:eastAsia="仿宋"/>
          <w:sz w:val="32"/>
          <w:szCs w:val="32"/>
        </w:rPr>
        <w:t xml:space="preserve">    按照《划拨用地目录》规定，下列情形可以采用划拨方式供地：</w:t>
      </w:r>
    </w:p>
    <w:p>
      <w:pPr>
        <w:spacing w:after="0" w:line="560" w:lineRule="exact"/>
        <w:ind w:firstLine="640" w:firstLineChars="200"/>
        <w:jc w:val="both"/>
        <w:rPr>
          <w:rFonts w:ascii="仿宋" w:hAnsi="仿宋" w:eastAsia="仿宋"/>
          <w:sz w:val="32"/>
          <w:szCs w:val="32"/>
        </w:rPr>
      </w:pPr>
      <w:r>
        <w:rPr>
          <w:rFonts w:hint="eastAsia" w:ascii="仿宋" w:hAnsi="仿宋" w:eastAsia="仿宋"/>
          <w:sz w:val="32"/>
          <w:szCs w:val="32"/>
        </w:rPr>
        <w:t>（一）国家机关用地和军事用地；</w:t>
      </w:r>
    </w:p>
    <w:p>
      <w:pPr>
        <w:spacing w:after="0" w:line="560" w:lineRule="exact"/>
        <w:ind w:firstLine="640" w:firstLineChars="200"/>
        <w:jc w:val="both"/>
        <w:rPr>
          <w:rFonts w:ascii="仿宋" w:hAnsi="仿宋" w:eastAsia="仿宋"/>
          <w:sz w:val="32"/>
          <w:szCs w:val="32"/>
        </w:rPr>
      </w:pPr>
      <w:r>
        <w:rPr>
          <w:rFonts w:hint="eastAsia" w:ascii="仿宋" w:hAnsi="仿宋" w:eastAsia="仿宋"/>
          <w:sz w:val="32"/>
          <w:szCs w:val="32"/>
        </w:rPr>
        <w:t>（二）城市基础设施用地和公益事业用地；</w:t>
      </w:r>
    </w:p>
    <w:p>
      <w:pPr>
        <w:spacing w:after="0" w:line="560" w:lineRule="exact"/>
        <w:ind w:firstLine="640" w:firstLineChars="200"/>
        <w:jc w:val="both"/>
        <w:rPr>
          <w:rFonts w:ascii="仿宋" w:hAnsi="仿宋" w:eastAsia="仿宋"/>
          <w:sz w:val="32"/>
          <w:szCs w:val="32"/>
        </w:rPr>
      </w:pPr>
      <w:r>
        <w:rPr>
          <w:rFonts w:hint="eastAsia" w:ascii="仿宋" w:hAnsi="仿宋" w:eastAsia="仿宋"/>
          <w:sz w:val="32"/>
          <w:szCs w:val="32"/>
        </w:rPr>
        <w:t>（三）国家重点扶持的能源、交通、水利等基础设施用地；</w:t>
      </w:r>
    </w:p>
    <w:p>
      <w:pPr>
        <w:spacing w:after="0" w:line="560" w:lineRule="exact"/>
        <w:ind w:firstLine="640" w:firstLineChars="200"/>
        <w:jc w:val="both"/>
        <w:rPr>
          <w:rFonts w:ascii="仿宋" w:hAnsi="仿宋" w:eastAsia="仿宋"/>
          <w:sz w:val="32"/>
          <w:szCs w:val="32"/>
        </w:rPr>
      </w:pPr>
      <w:r>
        <w:rPr>
          <w:rFonts w:hint="eastAsia" w:ascii="仿宋" w:hAnsi="仿宋" w:eastAsia="仿宋"/>
          <w:sz w:val="32"/>
          <w:szCs w:val="32"/>
        </w:rPr>
        <w:t>（四）法律、行政法规规定的其他用地。</w:t>
      </w:r>
    </w:p>
    <w:p>
      <w:pPr>
        <w:spacing w:after="0" w:line="560" w:lineRule="exact"/>
        <w:ind w:firstLine="640" w:firstLineChars="200"/>
        <w:jc w:val="both"/>
        <w:rPr>
          <w:rFonts w:ascii="仿宋" w:hAnsi="仿宋" w:eastAsia="仿宋"/>
          <w:sz w:val="32"/>
          <w:szCs w:val="32"/>
        </w:rPr>
      </w:pPr>
      <w:r>
        <w:rPr>
          <w:rFonts w:hint="eastAsia" w:ascii="黑体" w:hAnsi="黑体" w:eastAsia="黑体"/>
          <w:sz w:val="32"/>
          <w:szCs w:val="32"/>
        </w:rPr>
        <w:t>三、完善土地价格和成本确认机制</w:t>
      </w:r>
      <w:r>
        <w:rPr>
          <w:rFonts w:hint="eastAsia" w:ascii="仿宋" w:hAnsi="仿宋" w:eastAsia="仿宋"/>
          <w:sz w:val="32"/>
          <w:szCs w:val="32"/>
        </w:rPr>
        <w:br w:type="textWrapping"/>
      </w:r>
      <w:r>
        <w:rPr>
          <w:rFonts w:hint="eastAsia" w:ascii="仿宋" w:hAnsi="仿宋" w:eastAsia="仿宋"/>
          <w:sz w:val="32"/>
          <w:szCs w:val="32"/>
        </w:rPr>
        <w:t>　　市、区自然资源和城乡建设部门成立土地出让协调决策机构，负责协调解决土地划拨、协议出让、公开出让中的相关问题，集体确定有关事项。</w:t>
      </w:r>
    </w:p>
    <w:p>
      <w:pPr>
        <w:spacing w:after="0" w:line="560" w:lineRule="exact"/>
        <w:ind w:firstLine="640" w:firstLineChars="200"/>
        <w:jc w:val="both"/>
        <w:rPr>
          <w:rFonts w:ascii="楷体" w:hAnsi="楷体" w:eastAsia="楷体" w:cs="楷体"/>
          <w:sz w:val="32"/>
          <w:szCs w:val="32"/>
        </w:rPr>
      </w:pPr>
      <w:r>
        <w:rPr>
          <w:rFonts w:hint="eastAsia" w:ascii="楷体" w:hAnsi="楷体" w:eastAsia="楷体"/>
          <w:sz w:val="32"/>
          <w:szCs w:val="32"/>
        </w:rPr>
        <w:t>（一）公开出让项目土地价格及土地收益</w:t>
      </w:r>
    </w:p>
    <w:p>
      <w:pPr>
        <w:spacing w:after="0" w:line="560" w:lineRule="exact"/>
        <w:ind w:firstLine="640" w:firstLineChars="200"/>
        <w:jc w:val="both"/>
        <w:rPr>
          <w:rFonts w:ascii="仿宋" w:hAnsi="仿宋" w:eastAsia="仿宋"/>
          <w:sz w:val="32"/>
          <w:szCs w:val="32"/>
        </w:rPr>
      </w:pPr>
      <w:r>
        <w:rPr>
          <w:rFonts w:hint="eastAsia" w:ascii="仿宋" w:hAnsi="仿宋" w:eastAsia="仿宋"/>
          <w:sz w:val="32"/>
          <w:szCs w:val="32"/>
        </w:rPr>
        <w:t>1．公开出让土地起始价，依据土地评估价，综合考虑产业政策、土地成本、国家规定的计提费用、土地市场情况等因素，采取集体决策方式综合确定，且不得低于国家、省规定的最低地价标准,</w:t>
      </w:r>
      <w:r>
        <w:rPr>
          <w:rFonts w:hint="eastAsia" w:ascii="微软雅黑" w:hAnsi="微软雅黑" w:eastAsia="微软雅黑"/>
        </w:rPr>
        <w:t xml:space="preserve"> </w:t>
      </w:r>
      <w:bookmarkStart w:id="7" w:name="_Hlk219477313"/>
      <w:r>
        <w:rPr>
          <w:rFonts w:hint="eastAsia" w:ascii="仿宋" w:hAnsi="仿宋" w:eastAsia="仿宋"/>
          <w:sz w:val="32"/>
          <w:szCs w:val="32"/>
        </w:rPr>
        <w:t>工业用地的价格不得低于工业用地的成本价</w:t>
      </w:r>
      <w:bookmarkEnd w:id="7"/>
      <w:r>
        <w:rPr>
          <w:rFonts w:hint="eastAsia" w:ascii="仿宋" w:hAnsi="仿宋" w:eastAsia="仿宋"/>
          <w:sz w:val="32"/>
          <w:szCs w:val="32"/>
        </w:rPr>
        <w:t>。区级储备机构储备土地出让起始价由区人民政府负责合规性审查；市土地储备中心储备土地出让起始价由市自然资源和城乡建设部门进行合规性审查。</w:t>
      </w:r>
    </w:p>
    <w:p>
      <w:pPr>
        <w:spacing w:after="0" w:line="560" w:lineRule="exact"/>
        <w:ind w:firstLine="640" w:firstLineChars="200"/>
        <w:jc w:val="both"/>
        <w:rPr>
          <w:rFonts w:ascii="楷体" w:hAnsi="楷体" w:eastAsia="楷体" w:cs="楷体"/>
          <w:i/>
          <w:iCs/>
        </w:rPr>
      </w:pPr>
      <w:r>
        <w:rPr>
          <w:rFonts w:hint="eastAsia" w:ascii="仿宋" w:hAnsi="仿宋" w:eastAsia="仿宋"/>
          <w:sz w:val="32"/>
          <w:szCs w:val="32"/>
        </w:rPr>
        <w:t>2.规划用地性质包含住宅、商业等多用途地块在公开出让时，应明确各分用途对应地价占土地总价款的比例，并列入地块公开出让文件。土地成交后，按照既定的比例对成交总价款进行分摊。住宅、商业等地块可按照不同用途划分用地范围的，自然资源和城乡建设部门对规划方案审批时应当明确不同用途地块的用地范围和面积。</w:t>
      </w:r>
    </w:p>
    <w:p>
      <w:pPr>
        <w:spacing w:after="0" w:line="560" w:lineRule="exact"/>
        <w:ind w:firstLine="640" w:firstLineChars="200"/>
        <w:jc w:val="both"/>
        <w:rPr>
          <w:rFonts w:ascii="仿宋" w:hAnsi="仿宋" w:eastAsia="仿宋"/>
          <w:sz w:val="32"/>
          <w:szCs w:val="32"/>
        </w:rPr>
      </w:pPr>
      <w:r>
        <w:rPr>
          <w:rFonts w:hint="eastAsia" w:ascii="仿宋" w:hAnsi="仿宋" w:eastAsia="仿宋"/>
          <w:sz w:val="32"/>
          <w:szCs w:val="32"/>
        </w:rPr>
        <w:t>3.公开出让项目撤牌或流拍后，可以根据市场情况下调土地出让起始价重新公开出让，下调后起始价需符合本条第1款规定。</w:t>
      </w:r>
    </w:p>
    <w:p>
      <w:pPr>
        <w:spacing w:after="0" w:line="560" w:lineRule="exact"/>
        <w:ind w:firstLine="640" w:firstLineChars="200"/>
        <w:jc w:val="both"/>
        <w:rPr>
          <w:rFonts w:ascii="楷体" w:hAnsi="楷体" w:eastAsia="楷体" w:cs="楷体"/>
          <w:bCs/>
          <w:i/>
          <w:iCs/>
          <w:sz w:val="32"/>
          <w:szCs w:val="32"/>
        </w:rPr>
      </w:pPr>
      <w:bookmarkStart w:id="8" w:name="OLE_LINK229"/>
      <w:bookmarkStart w:id="9" w:name="OLE_LINK188"/>
      <w:bookmarkStart w:id="10" w:name="OLE_LINK187"/>
      <w:bookmarkStart w:id="11" w:name="OLE_LINK186"/>
      <w:r>
        <w:rPr>
          <w:rFonts w:hint="eastAsia" w:ascii="仿宋" w:hAnsi="仿宋" w:eastAsia="仿宋"/>
          <w:sz w:val="32"/>
          <w:szCs w:val="32"/>
        </w:rPr>
        <w:t>4.储备土地公开出让土地起始价原则上</w:t>
      </w:r>
      <w:bookmarkEnd w:id="8"/>
      <w:r>
        <w:rPr>
          <w:rFonts w:hint="eastAsia" w:ascii="仿宋" w:hAnsi="仿宋" w:eastAsia="仿宋"/>
          <w:sz w:val="32"/>
          <w:szCs w:val="32"/>
        </w:rPr>
        <w:t>不低于土地储备成本和国家规定的计提费用之和。确因涉及历史建筑、取得成本过高等原因达不到标准的，</w:t>
      </w:r>
      <w:bookmarkEnd w:id="9"/>
      <w:bookmarkEnd w:id="10"/>
      <w:bookmarkEnd w:id="11"/>
      <w:r>
        <w:rPr>
          <w:rFonts w:hint="eastAsia" w:ascii="仿宋" w:hAnsi="仿宋" w:eastAsia="仿宋"/>
          <w:sz w:val="32"/>
          <w:szCs w:val="32"/>
        </w:rPr>
        <w:t>市土地储备中心储备土地应取得市人民政府批准意见；区级储备机构储备土地应取得区人民政府批准意见。</w:t>
      </w:r>
    </w:p>
    <w:p>
      <w:pPr>
        <w:spacing w:after="0" w:line="560" w:lineRule="exact"/>
        <w:ind w:firstLine="640" w:firstLineChars="200"/>
        <w:jc w:val="both"/>
        <w:rPr>
          <w:rFonts w:ascii="楷体" w:hAnsi="楷体" w:eastAsia="楷体" w:cs="楷体"/>
          <w:i/>
          <w:iCs/>
          <w:sz w:val="32"/>
          <w:szCs w:val="32"/>
        </w:rPr>
      </w:pPr>
      <w:r>
        <w:rPr>
          <w:rFonts w:hint="eastAsia" w:ascii="楷体" w:hAnsi="楷体" w:eastAsia="楷体"/>
          <w:sz w:val="32"/>
          <w:szCs w:val="32"/>
        </w:rPr>
        <w:t>（二）协议出让项目土地出让金标准</w:t>
      </w:r>
      <w:r>
        <w:rPr>
          <w:rFonts w:hint="eastAsia" w:ascii="楷体" w:hAnsi="楷体" w:eastAsia="楷体"/>
          <w:sz w:val="32"/>
          <w:szCs w:val="32"/>
        </w:rPr>
        <w:br w:type="textWrapping"/>
      </w:r>
      <w:r>
        <w:rPr>
          <w:rFonts w:hint="eastAsia" w:ascii="仿宋" w:hAnsi="仿宋" w:eastAsia="仿宋"/>
          <w:sz w:val="32"/>
          <w:szCs w:val="32"/>
        </w:rPr>
        <w:t>　　1．储备土地协议出让项目土地出让金，依据土地评估价，综合考虑产业政策、土地成本、国家规定的计提费用、土地市场情况等因素，采取集体决策方式综合确定，且不得低于拟出让土地所在级别基准地价的70％。</w:t>
      </w:r>
    </w:p>
    <w:p>
      <w:pPr>
        <w:spacing w:after="0" w:line="560" w:lineRule="exact"/>
        <w:ind w:firstLine="640" w:firstLineChars="200"/>
        <w:jc w:val="both"/>
        <w:rPr>
          <w:rFonts w:ascii="仿宋" w:hAnsi="仿宋" w:eastAsia="仿宋"/>
          <w:sz w:val="32"/>
          <w:szCs w:val="32"/>
        </w:rPr>
      </w:pPr>
      <w:r>
        <w:rPr>
          <w:rFonts w:hint="eastAsia" w:ascii="仿宋" w:hAnsi="仿宋" w:eastAsia="仿宋"/>
          <w:sz w:val="32"/>
          <w:szCs w:val="32"/>
        </w:rPr>
        <w:t>2.划拨、租赁土地补办协议出让项目土地出让金标准</w:t>
      </w:r>
      <w:r>
        <w:rPr>
          <w:rFonts w:hint="eastAsia" w:ascii="仿宋" w:hAnsi="仿宋" w:eastAsia="仿宋"/>
          <w:sz w:val="32"/>
          <w:szCs w:val="32"/>
        </w:rPr>
        <w:br w:type="textWrapping"/>
      </w:r>
      <w:r>
        <w:rPr>
          <w:rFonts w:hint="eastAsia" w:ascii="仿宋" w:hAnsi="仿宋" w:eastAsia="仿宋"/>
          <w:sz w:val="32"/>
          <w:szCs w:val="32"/>
        </w:rPr>
        <w:t>　　（1）不改变用途等土地使用条件的</w:t>
      </w:r>
      <w:r>
        <w:rPr>
          <w:rFonts w:hint="eastAsia" w:ascii="仿宋" w:hAnsi="仿宋" w:eastAsia="仿宋"/>
          <w:sz w:val="32"/>
          <w:szCs w:val="32"/>
        </w:rPr>
        <w:br w:type="textWrapping"/>
      </w:r>
      <w:r>
        <w:rPr>
          <w:rFonts w:hint="eastAsia" w:ascii="仿宋" w:hAnsi="仿宋" w:eastAsia="仿宋"/>
          <w:sz w:val="32"/>
          <w:szCs w:val="32"/>
        </w:rPr>
        <w:t>　　应缴纳的土地出让金为拟出让时的出让土地评估价格与拟出让时的划拨土地评估价格或承租土地评估价格之差。</w:t>
      </w:r>
    </w:p>
    <w:p>
      <w:pPr>
        <w:spacing w:after="0" w:line="560" w:lineRule="exact"/>
        <w:ind w:firstLine="640" w:firstLineChars="200"/>
        <w:jc w:val="both"/>
        <w:rPr>
          <w:rFonts w:ascii="仿宋" w:hAnsi="仿宋" w:eastAsia="仿宋"/>
          <w:sz w:val="32"/>
          <w:szCs w:val="32"/>
        </w:rPr>
      </w:pPr>
      <w:r>
        <w:rPr>
          <w:rFonts w:hint="eastAsia" w:ascii="仿宋" w:hAnsi="仿宋" w:eastAsia="仿宋"/>
          <w:sz w:val="32"/>
          <w:szCs w:val="32"/>
        </w:rPr>
        <w:t>应缴纳的土地出让金＝拟出让时的出让土地评估价格－拟出让时的划拨土地评估价格或承租土地评估价格。</w:t>
      </w:r>
    </w:p>
    <w:p>
      <w:pPr>
        <w:spacing w:after="0" w:line="560" w:lineRule="exact"/>
        <w:ind w:firstLine="640" w:firstLineChars="200"/>
        <w:jc w:val="both"/>
        <w:rPr>
          <w:rFonts w:ascii="仿宋" w:hAnsi="仿宋" w:eastAsia="仿宋"/>
          <w:sz w:val="32"/>
          <w:szCs w:val="32"/>
        </w:rPr>
      </w:pPr>
      <w:r>
        <w:rPr>
          <w:rFonts w:hint="eastAsia" w:ascii="仿宋" w:hAnsi="仿宋" w:eastAsia="仿宋"/>
          <w:sz w:val="32"/>
          <w:szCs w:val="32"/>
        </w:rPr>
        <w:t>工业用地，应缴纳的土地使用权出让金额原则上不得低于拟出让时的出让土地评估价格的20%；其他用地，应缴纳的土地使用权出让金额原则上不得低于拟出让时的出让土地评估价格的40%。</w:t>
      </w:r>
    </w:p>
    <w:p>
      <w:pPr>
        <w:spacing w:after="0" w:line="560" w:lineRule="exact"/>
        <w:ind w:firstLine="640" w:firstLineChars="200"/>
        <w:jc w:val="both"/>
        <w:rPr>
          <w:rFonts w:ascii="仿宋" w:hAnsi="仿宋" w:eastAsia="仿宋"/>
          <w:sz w:val="32"/>
          <w:szCs w:val="32"/>
        </w:rPr>
      </w:pPr>
      <w:r>
        <w:rPr>
          <w:rFonts w:hint="eastAsia" w:ascii="仿宋" w:hAnsi="仿宋" w:eastAsia="仿宋"/>
          <w:sz w:val="32"/>
          <w:szCs w:val="32"/>
        </w:rPr>
        <w:t>（2）改变用途等土地使用条件的</w:t>
      </w:r>
      <w:r>
        <w:rPr>
          <w:rFonts w:hint="eastAsia" w:ascii="仿宋" w:hAnsi="仿宋" w:eastAsia="仿宋"/>
          <w:sz w:val="32"/>
          <w:szCs w:val="32"/>
        </w:rPr>
        <w:br w:type="textWrapping"/>
      </w:r>
      <w:r>
        <w:rPr>
          <w:rFonts w:hint="eastAsia" w:ascii="仿宋" w:hAnsi="仿宋" w:eastAsia="仿宋"/>
          <w:sz w:val="32"/>
          <w:szCs w:val="32"/>
        </w:rPr>
        <w:t>　　应缴纳的土地出让金为拟出让时的新土地使用条件下出让土地评估价格与拟出让时的原土地使用条件下划拨土地评估价格或承租土地评估价格。</w:t>
      </w:r>
    </w:p>
    <w:p>
      <w:pPr>
        <w:spacing w:after="0" w:line="560" w:lineRule="exact"/>
        <w:ind w:firstLine="640" w:firstLineChars="200"/>
        <w:jc w:val="both"/>
        <w:rPr>
          <w:rFonts w:ascii="仿宋" w:hAnsi="仿宋" w:eastAsia="仿宋"/>
          <w:sz w:val="32"/>
          <w:szCs w:val="32"/>
        </w:rPr>
      </w:pPr>
      <w:r>
        <w:rPr>
          <w:rFonts w:hint="eastAsia" w:ascii="仿宋" w:hAnsi="仿宋" w:eastAsia="仿宋"/>
          <w:sz w:val="32"/>
          <w:szCs w:val="32"/>
        </w:rPr>
        <w:t>应缴纳的土地出让金＝拟出让时的新土地使用条件下出让土地评估价格与拟出让时的原土地使用条件下划拨土地评估价格或承租土地评估价格之差。</w:t>
      </w:r>
    </w:p>
    <w:p>
      <w:pPr>
        <w:spacing w:after="0" w:line="560" w:lineRule="exact"/>
        <w:ind w:firstLine="640" w:firstLineChars="200"/>
        <w:jc w:val="both"/>
        <w:rPr>
          <w:rFonts w:ascii="仿宋" w:hAnsi="仿宋" w:eastAsia="仿宋"/>
          <w:sz w:val="32"/>
          <w:szCs w:val="32"/>
        </w:rPr>
      </w:pPr>
      <w:r>
        <w:rPr>
          <w:rFonts w:hint="eastAsia" w:ascii="仿宋" w:hAnsi="仿宋" w:eastAsia="仿宋"/>
          <w:sz w:val="32"/>
          <w:szCs w:val="32"/>
        </w:rPr>
        <w:t>估价期日应以自然资源和规划部门依法受理补缴土地出让金申请时点为准。市人民政府确认的历史遗留项目，已建成并交付入住项目估价期日应当以各区人民政府组织认定的项目建成时点为准。</w:t>
      </w:r>
    </w:p>
    <w:p>
      <w:pPr>
        <w:spacing w:after="0" w:line="560" w:lineRule="exact"/>
        <w:ind w:firstLine="640" w:firstLineChars="200"/>
        <w:jc w:val="both"/>
        <w:rPr>
          <w:rFonts w:ascii="楷体" w:hAnsi="楷体" w:eastAsia="楷体" w:cs="楷体"/>
          <w:i/>
          <w:iCs/>
          <w:sz w:val="32"/>
          <w:szCs w:val="32"/>
        </w:rPr>
      </w:pPr>
      <w:r>
        <w:rPr>
          <w:rFonts w:hint="eastAsia" w:ascii="仿宋" w:hAnsi="仿宋" w:eastAsia="仿宋"/>
          <w:sz w:val="32"/>
          <w:szCs w:val="32"/>
        </w:rPr>
        <w:t>3.项目经批准整合相邻用地的，按照协议出让土地评估价与土地整合费用之差核定土地出让金标准，工业用地、其他用地以房屋交易方式整合的，原则上出让金标准不得低于土地评估价的20%；其他用地以宗地交易方式整合的，原则上出让金标准不得低于土地评估价的50%。区级储备机构协议出让地块的土地整合费用由区人民政府确定的部门认定；其他协议出让地块由市储备中心认定。</w:t>
      </w:r>
    </w:p>
    <w:p>
      <w:pPr>
        <w:spacing w:after="0" w:line="560" w:lineRule="exact"/>
        <w:ind w:firstLine="640" w:firstLineChars="200"/>
        <w:jc w:val="both"/>
        <w:rPr>
          <w:rFonts w:ascii="仿宋" w:hAnsi="仿宋" w:eastAsia="仿宋"/>
          <w:sz w:val="32"/>
          <w:szCs w:val="32"/>
        </w:rPr>
      </w:pPr>
      <w:r>
        <w:rPr>
          <w:rFonts w:hint="eastAsia" w:ascii="仿宋" w:hAnsi="仿宋" w:eastAsia="仿宋"/>
          <w:sz w:val="32"/>
          <w:szCs w:val="32"/>
        </w:rPr>
        <w:t>4.土地收回补偿的协议出让项目，按照拟协议出让的土地评估价与原收回的土地补偿价格之差核定土地出让金标准。</w:t>
      </w:r>
    </w:p>
    <w:p>
      <w:pPr>
        <w:spacing w:after="0" w:line="560" w:lineRule="exact"/>
        <w:ind w:firstLine="640" w:firstLineChars="200"/>
        <w:jc w:val="both"/>
        <w:rPr>
          <w:rFonts w:ascii="仿宋" w:hAnsi="仿宋" w:eastAsia="仿宋"/>
          <w:sz w:val="32"/>
          <w:szCs w:val="32"/>
        </w:rPr>
      </w:pPr>
      <w:r>
        <w:rPr>
          <w:rFonts w:hint="eastAsia" w:ascii="楷体" w:hAnsi="楷体" w:eastAsia="楷体"/>
          <w:sz w:val="32"/>
          <w:szCs w:val="32"/>
        </w:rPr>
        <w:t>（三）储备土地成本</w:t>
      </w:r>
      <w:r>
        <w:rPr>
          <w:rFonts w:hint="eastAsia" w:ascii="楷体" w:hAnsi="楷体" w:eastAsia="楷体"/>
          <w:sz w:val="32"/>
          <w:szCs w:val="32"/>
        </w:rPr>
        <w:br w:type="textWrapping"/>
      </w:r>
      <w:r>
        <w:rPr>
          <w:rFonts w:hint="eastAsia" w:ascii="仿宋" w:hAnsi="仿宋" w:eastAsia="仿宋"/>
          <w:sz w:val="32"/>
          <w:szCs w:val="32"/>
        </w:rPr>
        <w:t>　　1．储备土地成本确定</w:t>
      </w:r>
    </w:p>
    <w:p>
      <w:pPr>
        <w:spacing w:after="0" w:line="560" w:lineRule="exact"/>
        <w:ind w:firstLine="640" w:firstLineChars="200"/>
        <w:jc w:val="both"/>
        <w:rPr>
          <w:rFonts w:ascii="楷体" w:hAnsi="楷体" w:eastAsia="楷体" w:cs="楷体"/>
          <w:bCs/>
          <w:i/>
          <w:iCs/>
          <w:sz w:val="32"/>
          <w:szCs w:val="32"/>
        </w:rPr>
      </w:pPr>
      <w:r>
        <w:rPr>
          <w:rFonts w:hint="eastAsia" w:ascii="仿宋" w:hAnsi="仿宋" w:eastAsia="仿宋"/>
          <w:sz w:val="32"/>
          <w:szCs w:val="32"/>
        </w:rPr>
        <w:t>（1）储备主体综合考虑房屋土地征收成本、土地收回（收购）成本、土地污染调查及治理成本、考古调查勘探及发掘成本、财务成本、供电市政配套等开发整理建设成本等因素测算土地储备成本；项目完成供地后，市财政部门审核认定土地储备成本，返还储备主体。</w:t>
      </w:r>
    </w:p>
    <w:p>
      <w:pPr>
        <w:spacing w:after="0" w:line="560" w:lineRule="exact"/>
        <w:ind w:firstLine="640" w:firstLineChars="200"/>
        <w:jc w:val="both"/>
        <w:rPr>
          <w:rFonts w:ascii="仿宋" w:hAnsi="仿宋" w:eastAsia="仿宋"/>
          <w:sz w:val="32"/>
          <w:szCs w:val="32"/>
        </w:rPr>
      </w:pPr>
      <w:r>
        <w:rPr>
          <w:rFonts w:hint="eastAsia" w:ascii="仿宋" w:hAnsi="仿宋" w:eastAsia="仿宋"/>
          <w:sz w:val="32"/>
          <w:szCs w:val="32"/>
        </w:rPr>
        <w:t>（2）土地储备涉及土地收回(收购)的，由土地储备机构与土地使用权人土地市场评估结果，并综合考虑土地使用权人历史投入协商确定补偿价格。</w:t>
      </w:r>
      <w:r>
        <w:rPr>
          <w:rFonts w:ascii="仿宋" w:hAnsi="仿宋" w:eastAsia="仿宋"/>
          <w:sz w:val="32"/>
          <w:szCs w:val="32"/>
        </w:rPr>
        <w:t>运用地方政府专项</w:t>
      </w:r>
      <w:r>
        <w:rPr>
          <w:rFonts w:hint="eastAsia" w:ascii="仿宋" w:hAnsi="仿宋" w:eastAsia="仿宋"/>
          <w:sz w:val="32"/>
          <w:szCs w:val="32"/>
        </w:rPr>
        <w:t xml:space="preserve">债券收回（收购）存量闲置土地的，按照相关规定执行。 </w:t>
      </w:r>
    </w:p>
    <w:p>
      <w:pPr>
        <w:spacing w:after="0" w:line="560" w:lineRule="exact"/>
        <w:ind w:firstLine="640" w:firstLineChars="200"/>
        <w:jc w:val="both"/>
        <w:rPr>
          <w:rFonts w:ascii="仿宋" w:hAnsi="仿宋" w:eastAsia="仿宋"/>
          <w:sz w:val="32"/>
          <w:szCs w:val="32"/>
        </w:rPr>
      </w:pPr>
      <w:r>
        <w:rPr>
          <w:rFonts w:hint="eastAsia" w:ascii="仿宋" w:hAnsi="仿宋" w:eastAsia="仿宋"/>
          <w:sz w:val="32"/>
          <w:szCs w:val="32"/>
        </w:rPr>
        <w:t>2.</w:t>
      </w:r>
      <w:bookmarkStart w:id="12" w:name="_Hlk218868516"/>
      <w:r>
        <w:rPr>
          <w:rFonts w:hint="eastAsia" w:ascii="仿宋" w:hAnsi="仿宋" w:eastAsia="仿宋"/>
          <w:sz w:val="32"/>
          <w:szCs w:val="32"/>
        </w:rPr>
        <w:t>储备土地成本核算</w:t>
      </w:r>
    </w:p>
    <w:bookmarkEnd w:id="12"/>
    <w:p>
      <w:pPr>
        <w:spacing w:after="0" w:line="560" w:lineRule="exact"/>
        <w:ind w:firstLine="640" w:firstLineChars="200"/>
        <w:jc w:val="both"/>
        <w:rPr>
          <w:rFonts w:ascii="楷体" w:hAnsi="楷体" w:eastAsia="楷体" w:cs="楷体"/>
          <w:bCs/>
          <w:i/>
          <w:iCs/>
          <w:sz w:val="32"/>
          <w:szCs w:val="32"/>
        </w:rPr>
      </w:pPr>
      <w:r>
        <w:rPr>
          <w:rFonts w:hint="eastAsia" w:ascii="仿宋" w:hAnsi="仿宋" w:eastAsia="仿宋"/>
          <w:sz w:val="32"/>
          <w:szCs w:val="32"/>
        </w:rPr>
        <w:t>（1）储备地块可以按照出让地块规划净用地面积独立核算储备土地成本。</w:t>
      </w:r>
      <w:bookmarkStart w:id="13" w:name="_Hlk218868890"/>
    </w:p>
    <w:bookmarkEnd w:id="13"/>
    <w:p>
      <w:pPr>
        <w:spacing w:after="0" w:line="560" w:lineRule="exact"/>
        <w:ind w:firstLine="640" w:firstLineChars="200"/>
        <w:jc w:val="both"/>
        <w:rPr>
          <w:rFonts w:ascii="仿宋" w:hAnsi="仿宋" w:eastAsia="仿宋"/>
          <w:sz w:val="32"/>
          <w:szCs w:val="32"/>
        </w:rPr>
      </w:pPr>
      <w:r>
        <w:rPr>
          <w:rFonts w:hint="eastAsia" w:ascii="仿宋" w:hAnsi="仿宋" w:eastAsia="仿宋"/>
          <w:sz w:val="32"/>
          <w:szCs w:val="32"/>
        </w:rPr>
        <w:t>（2）</w:t>
      </w:r>
      <w:bookmarkStart w:id="14" w:name="_Hlk218868940"/>
      <w:r>
        <w:rPr>
          <w:rFonts w:hint="eastAsia" w:ascii="仿宋" w:hAnsi="仿宋" w:eastAsia="仿宋"/>
          <w:sz w:val="32"/>
          <w:szCs w:val="32"/>
        </w:rPr>
        <w:t>片区储备项目</w:t>
      </w:r>
      <w:bookmarkEnd w:id="14"/>
      <w:r>
        <w:rPr>
          <w:rFonts w:hint="eastAsia" w:ascii="仿宋" w:hAnsi="仿宋" w:eastAsia="仿宋"/>
          <w:sz w:val="32"/>
          <w:szCs w:val="32"/>
        </w:rPr>
        <w:t>，土地储备总成本可以按照基础设施用地、公益项目用地（含还建用地）、产业用地、开发用地4类用地进行成本分摊。中心城区旧城改建项目储备成本过高无法消化的，可按照当期平衡、动态平衡、综合平衡、长期平衡、政策平衡的原则，转移到其他储备项目，确保实现旧城改建项目统筹平衡。</w:t>
      </w:r>
    </w:p>
    <w:p>
      <w:pPr>
        <w:spacing w:after="0" w:line="560" w:lineRule="exact"/>
        <w:ind w:firstLine="640" w:firstLineChars="200"/>
        <w:jc w:val="both"/>
        <w:rPr>
          <w:rFonts w:ascii="仿宋" w:hAnsi="仿宋" w:eastAsia="仿宋"/>
          <w:bCs/>
          <w:sz w:val="32"/>
          <w:szCs w:val="32"/>
        </w:rPr>
      </w:pPr>
      <w:r>
        <w:rPr>
          <w:rFonts w:hint="eastAsia" w:ascii="仿宋" w:hAnsi="仿宋" w:eastAsia="仿宋" w:cs="楷体"/>
          <w:bCs/>
          <w:sz w:val="32"/>
          <w:szCs w:val="32"/>
        </w:rPr>
        <w:t>（3）</w:t>
      </w:r>
      <w:bookmarkStart w:id="15" w:name="_Hlk218868913"/>
      <w:r>
        <w:rPr>
          <w:rFonts w:hint="eastAsia" w:ascii="仿宋" w:hAnsi="仿宋" w:eastAsia="仿宋"/>
          <w:bCs/>
          <w:sz w:val="32"/>
          <w:szCs w:val="32"/>
        </w:rPr>
        <w:t>与储备土地直接相关的供电市政配套基础建设工程费用等在土地储备资金中列支。</w:t>
      </w:r>
      <w:bookmarkEnd w:id="15"/>
      <w:r>
        <w:rPr>
          <w:rFonts w:hint="eastAsia" w:ascii="仿宋" w:hAnsi="仿宋" w:eastAsia="仿宋"/>
          <w:bCs/>
          <w:sz w:val="32"/>
          <w:szCs w:val="32"/>
        </w:rPr>
        <w:t>出让地块规划净用地范围以外、片区储备项目中前期开发的规划道路、</w:t>
      </w:r>
      <w:r>
        <w:rPr>
          <w:rFonts w:hint="eastAsia" w:ascii="仿宋" w:hAnsi="仿宋" w:eastAsia="仿宋"/>
          <w:sz w:val="32"/>
          <w:szCs w:val="32"/>
        </w:rPr>
        <w:t>公园绿化、学校等市级投资的城市公益性和公共基础设施用地的成本优先通过城建资金、教育资金等其他渠道另行解决。</w:t>
      </w:r>
    </w:p>
    <w:p>
      <w:pPr>
        <w:spacing w:after="0" w:line="560" w:lineRule="exact"/>
        <w:ind w:firstLine="640" w:firstLineChars="200"/>
        <w:jc w:val="both"/>
        <w:rPr>
          <w:rFonts w:ascii="仿宋" w:hAnsi="仿宋" w:eastAsia="仿宋"/>
          <w:sz w:val="32"/>
          <w:szCs w:val="32"/>
        </w:rPr>
      </w:pPr>
      <w:r>
        <w:rPr>
          <w:rFonts w:hint="eastAsia" w:ascii="楷体" w:hAnsi="楷体" w:eastAsia="楷体"/>
          <w:sz w:val="32"/>
          <w:szCs w:val="32"/>
        </w:rPr>
        <w:t>（四）划拨土地价格</w:t>
      </w:r>
      <w:r>
        <w:rPr>
          <w:rFonts w:hint="eastAsia" w:ascii="仿宋" w:hAnsi="仿宋" w:eastAsia="仿宋"/>
          <w:sz w:val="32"/>
          <w:szCs w:val="32"/>
        </w:rPr>
        <w:br w:type="textWrapping"/>
      </w:r>
      <w:r>
        <w:rPr>
          <w:rFonts w:hint="eastAsia" w:ascii="仿宋" w:hAnsi="仿宋" w:eastAsia="仿宋"/>
          <w:sz w:val="32"/>
          <w:szCs w:val="32"/>
        </w:rPr>
        <w:t>　　建设项目使用储备土地的，原则按照土地储备成本核定划拨用地土地价格，对于已经市人民政府明确供应价格的项目，按照相关文件规定的价格供应；建设项目使用非储备土地的，用地单位自行承担土地取得成本。</w:t>
      </w:r>
      <w:r>
        <w:rPr>
          <w:rFonts w:hint="eastAsia" w:ascii="仿宋" w:hAnsi="仿宋" w:eastAsia="仿宋"/>
          <w:sz w:val="32"/>
          <w:szCs w:val="32"/>
        </w:rPr>
        <w:br w:type="textWrapping"/>
      </w:r>
      <w:r>
        <w:rPr>
          <w:rFonts w:hint="eastAsia" w:ascii="仿宋" w:hAnsi="仿宋" w:eastAsia="仿宋"/>
          <w:sz w:val="32"/>
          <w:szCs w:val="32"/>
        </w:rPr>
        <w:t>　　</w:t>
      </w:r>
      <w:r>
        <w:rPr>
          <w:rFonts w:hint="eastAsia" w:ascii="楷体" w:hAnsi="楷体" w:eastAsia="楷体"/>
          <w:sz w:val="32"/>
          <w:szCs w:val="32"/>
        </w:rPr>
        <w:t>（五）租赁土地价格</w:t>
      </w:r>
      <w:r>
        <w:rPr>
          <w:rFonts w:hint="eastAsia" w:ascii="楷体" w:hAnsi="楷体" w:eastAsia="楷体"/>
          <w:sz w:val="32"/>
          <w:szCs w:val="32"/>
        </w:rPr>
        <w:br w:type="textWrapping"/>
      </w:r>
      <w:r>
        <w:rPr>
          <w:rFonts w:hint="eastAsia" w:ascii="仿宋" w:hAnsi="仿宋" w:eastAsia="仿宋"/>
          <w:sz w:val="32"/>
          <w:szCs w:val="32"/>
        </w:rPr>
        <w:t>　　市自然资源和城乡建设部门依据土地市场情况、产业政策等适时公布租赁土地租金标准。新城区、开发区租赁土地租金标准由区人民政府制定。</w:t>
      </w:r>
      <w:r>
        <w:rPr>
          <w:rFonts w:hint="eastAsia" w:ascii="仿宋" w:hAnsi="仿宋" w:eastAsia="仿宋"/>
          <w:sz w:val="32"/>
          <w:szCs w:val="32"/>
        </w:rPr>
        <w:br w:type="textWrapping"/>
      </w:r>
      <w:r>
        <w:rPr>
          <w:rFonts w:hint="eastAsia" w:ascii="黑体" w:hAnsi="黑体" w:eastAsia="黑体"/>
          <w:sz w:val="32"/>
          <w:szCs w:val="32"/>
        </w:rPr>
        <w:t>　　四、完善工业用地管理</w:t>
      </w:r>
      <w:r>
        <w:rPr>
          <w:rFonts w:hint="eastAsia" w:ascii="仿宋" w:hAnsi="仿宋" w:eastAsia="仿宋"/>
          <w:sz w:val="32"/>
          <w:szCs w:val="32"/>
        </w:rPr>
        <w:br w:type="textWrapping"/>
      </w:r>
      <w:r>
        <w:rPr>
          <w:rFonts w:hint="eastAsia" w:ascii="仿宋" w:hAnsi="仿宋" w:eastAsia="仿宋"/>
          <w:sz w:val="32"/>
          <w:szCs w:val="32"/>
        </w:rPr>
        <w:t>　　全市范围内国家级开发区、省级开发区、其他工业集中区全面推行新增工业用地“标准地”出让制度。</w:t>
      </w:r>
    </w:p>
    <w:p>
      <w:pPr>
        <w:spacing w:after="0" w:line="560" w:lineRule="exact"/>
        <w:ind w:firstLine="640" w:firstLineChars="200"/>
        <w:jc w:val="both"/>
        <w:rPr>
          <w:rFonts w:ascii="楷体" w:hAnsi="楷体" w:eastAsia="楷体"/>
          <w:sz w:val="32"/>
          <w:szCs w:val="32"/>
        </w:rPr>
      </w:pPr>
      <w:r>
        <w:rPr>
          <w:rFonts w:hint="eastAsia" w:ascii="楷体" w:hAnsi="楷体" w:eastAsia="楷体"/>
          <w:sz w:val="32"/>
          <w:szCs w:val="32"/>
        </w:rPr>
        <w:t>（一）明确工业用地供应要求</w:t>
      </w:r>
    </w:p>
    <w:p>
      <w:pPr>
        <w:spacing w:after="0" w:line="560" w:lineRule="exact"/>
        <w:ind w:firstLine="640" w:firstLineChars="200"/>
        <w:jc w:val="both"/>
        <w:rPr>
          <w:rFonts w:ascii="仿宋" w:hAnsi="仿宋" w:eastAsia="仿宋"/>
          <w:sz w:val="32"/>
          <w:szCs w:val="32"/>
        </w:rPr>
      </w:pPr>
      <w:r>
        <w:rPr>
          <w:rFonts w:hint="eastAsia" w:ascii="仿宋" w:hAnsi="仿宋" w:eastAsia="仿宋"/>
          <w:sz w:val="32"/>
          <w:szCs w:val="32"/>
        </w:rPr>
        <w:t>各区人民政府按要求落实制订土地供应计划，开展区域性统一评价，严格执行“净地”出让规定，明确控制指标，签订合同和承诺书，竣工验收、达产复核，加强征信管理和督促检查等任务。</w:t>
      </w:r>
      <w:r>
        <w:rPr>
          <w:rFonts w:hint="eastAsia" w:ascii="仿宋" w:hAnsi="仿宋" w:eastAsia="仿宋"/>
          <w:sz w:val="32"/>
          <w:szCs w:val="32"/>
        </w:rPr>
        <w:br w:type="textWrapping"/>
      </w:r>
      <w:r>
        <w:rPr>
          <w:rFonts w:hint="eastAsia" w:ascii="仿宋" w:hAnsi="仿宋" w:eastAsia="仿宋"/>
          <w:sz w:val="32"/>
          <w:szCs w:val="32"/>
        </w:rPr>
        <w:t>　　</w:t>
      </w:r>
      <w:r>
        <w:rPr>
          <w:rFonts w:hint="eastAsia" w:ascii="楷体" w:hAnsi="楷体" w:eastAsia="楷体"/>
          <w:sz w:val="32"/>
          <w:szCs w:val="32"/>
        </w:rPr>
        <w:t>（二）明确准入门槛</w:t>
      </w:r>
      <w:r>
        <w:rPr>
          <w:rFonts w:hint="eastAsia" w:ascii="仿宋" w:hAnsi="仿宋" w:eastAsia="仿宋"/>
          <w:sz w:val="32"/>
          <w:szCs w:val="32"/>
        </w:rPr>
        <w:br w:type="textWrapping"/>
      </w:r>
      <w:r>
        <w:rPr>
          <w:rFonts w:hint="eastAsia" w:ascii="仿宋" w:hAnsi="仿宋" w:eastAsia="仿宋"/>
          <w:sz w:val="32"/>
          <w:szCs w:val="32"/>
        </w:rPr>
        <w:t>　　各类开发区生产和基础设施用地比例不得低于70%。国家级开发区、省级开发区、其他工业集中区新建工业项目亩均投资分别不低于300万元、200万元、100万元；投产后亩年均税收分别不低于25万元、15万元、10万元。　　</w:t>
      </w:r>
    </w:p>
    <w:p>
      <w:pPr>
        <w:spacing w:after="0" w:line="560" w:lineRule="exact"/>
        <w:ind w:firstLine="640" w:firstLineChars="200"/>
        <w:jc w:val="both"/>
        <w:rPr>
          <w:rFonts w:ascii="仿宋" w:hAnsi="仿宋" w:eastAsia="仿宋"/>
          <w:sz w:val="32"/>
          <w:szCs w:val="32"/>
        </w:rPr>
      </w:pPr>
      <w:r>
        <w:rPr>
          <w:rFonts w:hint="eastAsia" w:ascii="楷体" w:hAnsi="楷体" w:eastAsia="楷体"/>
          <w:sz w:val="32"/>
          <w:szCs w:val="32"/>
        </w:rPr>
        <w:t>（三）利用存量工业用地</w:t>
      </w:r>
      <w:r>
        <w:rPr>
          <w:rFonts w:hint="eastAsia" w:ascii="楷体" w:hAnsi="楷体" w:eastAsia="楷体"/>
          <w:sz w:val="32"/>
          <w:szCs w:val="32"/>
        </w:rPr>
        <w:br w:type="textWrapping"/>
      </w:r>
      <w:r>
        <w:rPr>
          <w:rFonts w:hint="eastAsia" w:ascii="仿宋" w:hAnsi="仿宋" w:eastAsia="仿宋"/>
          <w:sz w:val="32"/>
          <w:szCs w:val="32"/>
        </w:rPr>
        <w:t>　　存量工业用地在符合规划和不改变用途的前提下，经批准在原用地范围内增加建筑规模、利用地下空间的，不再补缴土地出让金。鼓励建设标准厂房，在标准厂房集中区域，可根据需要建设各类公共推广服务平台。</w:t>
      </w:r>
    </w:p>
    <w:p>
      <w:pPr>
        <w:spacing w:after="0" w:line="560" w:lineRule="exact"/>
        <w:ind w:firstLine="640" w:firstLineChars="200"/>
        <w:jc w:val="both"/>
        <w:rPr>
          <w:rFonts w:ascii="楷体" w:hAnsi="楷体" w:eastAsia="楷体"/>
          <w:sz w:val="32"/>
          <w:szCs w:val="32"/>
        </w:rPr>
      </w:pPr>
      <w:r>
        <w:rPr>
          <w:rFonts w:hint="eastAsia" w:ascii="楷体" w:hAnsi="楷体" w:eastAsia="楷体"/>
          <w:sz w:val="32"/>
          <w:szCs w:val="32"/>
        </w:rPr>
        <w:t>（四）工业用地多元化供应</w:t>
      </w:r>
    </w:p>
    <w:p>
      <w:pPr>
        <w:spacing w:after="0" w:line="560" w:lineRule="exact"/>
        <w:ind w:firstLine="640" w:firstLineChars="200"/>
        <w:jc w:val="both"/>
        <w:rPr>
          <w:rFonts w:ascii="仿宋" w:hAnsi="仿宋" w:eastAsia="仿宋"/>
          <w:sz w:val="32"/>
          <w:szCs w:val="32"/>
        </w:rPr>
      </w:pPr>
      <w:r>
        <w:rPr>
          <w:rFonts w:hint="eastAsia" w:ascii="仿宋" w:hAnsi="仿宋" w:eastAsia="仿宋"/>
          <w:sz w:val="32"/>
          <w:szCs w:val="32"/>
        </w:rPr>
        <w:t>工业用地项目可采取“先租后让”方式供应土地。其中：租赁期满达到约定条件后按照协议出让方式供应土地。租赁期租金按照租赁期与最高年期的比值修正确定。租让年期之和不超过法定最高出让年限。转出让后，已交租金冲抵出让价款。</w:t>
      </w:r>
      <w:r>
        <w:rPr>
          <w:rFonts w:hint="eastAsia" w:ascii="仿宋" w:hAnsi="仿宋" w:eastAsia="仿宋"/>
          <w:sz w:val="32"/>
          <w:szCs w:val="32"/>
        </w:rPr>
        <w:br w:type="textWrapping"/>
      </w:r>
      <w:r>
        <w:rPr>
          <w:rFonts w:hint="eastAsia" w:ascii="黑体" w:hAnsi="黑体" w:eastAsia="黑体"/>
          <w:sz w:val="32"/>
          <w:szCs w:val="32"/>
        </w:rPr>
        <w:t>　　五、明确土地利用相关政策</w:t>
      </w:r>
      <w:r>
        <w:rPr>
          <w:rFonts w:hint="eastAsia" w:ascii="仿宋" w:hAnsi="仿宋" w:eastAsia="仿宋"/>
          <w:sz w:val="32"/>
          <w:szCs w:val="32"/>
        </w:rPr>
        <w:br w:type="textWrapping"/>
      </w:r>
      <w:r>
        <w:rPr>
          <w:rFonts w:hint="eastAsia" w:ascii="仿宋" w:hAnsi="仿宋" w:eastAsia="仿宋"/>
          <w:sz w:val="32"/>
          <w:szCs w:val="32"/>
        </w:rPr>
        <w:t>　　为促进土地节约集约高效利用，对因公共利益、实施规划使用土地的项目，实施项目用地分类管理，按照下列规定办理：</w:t>
      </w:r>
      <w:r>
        <w:rPr>
          <w:rFonts w:hint="eastAsia" w:ascii="仿宋" w:hAnsi="仿宋" w:eastAsia="仿宋"/>
          <w:sz w:val="32"/>
          <w:szCs w:val="32"/>
        </w:rPr>
        <w:br w:type="textWrapping"/>
      </w:r>
      <w:r>
        <w:rPr>
          <w:rFonts w:hint="eastAsia" w:ascii="仿宋" w:hAnsi="仿宋" w:eastAsia="仿宋"/>
          <w:sz w:val="32"/>
          <w:szCs w:val="32"/>
        </w:rPr>
        <w:t>　　</w:t>
      </w:r>
      <w:r>
        <w:rPr>
          <w:rFonts w:hint="eastAsia" w:ascii="楷体" w:hAnsi="楷体" w:eastAsia="楷体"/>
          <w:sz w:val="32"/>
          <w:szCs w:val="32"/>
        </w:rPr>
        <w:t>（一）土地收回</w:t>
      </w:r>
    </w:p>
    <w:p>
      <w:pPr>
        <w:spacing w:after="0" w:line="560" w:lineRule="exact"/>
        <w:ind w:firstLine="640" w:firstLineChars="200"/>
        <w:jc w:val="both"/>
        <w:rPr>
          <w:rFonts w:ascii="仿宋" w:hAnsi="仿宋" w:eastAsia="仿宋"/>
          <w:sz w:val="32"/>
          <w:szCs w:val="32"/>
        </w:rPr>
      </w:pPr>
      <w:r>
        <w:rPr>
          <w:rFonts w:hint="eastAsia" w:ascii="仿宋" w:hAnsi="仿宋" w:eastAsia="仿宋"/>
          <w:sz w:val="32"/>
          <w:szCs w:val="32"/>
        </w:rPr>
        <w:t>有下列情形之一的，由自然资源和城乡建设部门报经原批准用地的人民政府或者有批准权的人民政府批准，可以收回国有土地使用权：</w:t>
      </w:r>
    </w:p>
    <w:p>
      <w:pPr>
        <w:spacing w:after="0" w:line="560" w:lineRule="exact"/>
        <w:ind w:firstLine="640" w:firstLineChars="200"/>
        <w:jc w:val="both"/>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w:t>
      </w:r>
      <w:r>
        <w:rPr>
          <w:rFonts w:hint="eastAsia" w:ascii="仿宋" w:hAnsi="仿宋" w:eastAsia="仿宋"/>
          <w:sz w:val="32"/>
          <w:szCs w:val="32"/>
        </w:rPr>
        <w:t xml:space="preserve">为实施规划进行城市更新确需使用土地的项目； </w:t>
      </w:r>
      <w:r>
        <w:rPr>
          <w:rFonts w:hint="eastAsia" w:ascii="仿宋" w:hAnsi="仿宋" w:eastAsia="仿宋"/>
          <w:sz w:val="32"/>
          <w:szCs w:val="32"/>
        </w:rPr>
        <w:br w:type="textWrapping"/>
      </w:r>
      <w:r>
        <w:rPr>
          <w:rFonts w:hint="eastAsia" w:ascii="仿宋" w:hAnsi="仿宋" w:eastAsia="仿宋"/>
          <w:sz w:val="32"/>
          <w:szCs w:val="32"/>
        </w:rPr>
        <w:t>　　2</w:t>
      </w:r>
      <w:r>
        <w:rPr>
          <w:rFonts w:ascii="仿宋" w:hAnsi="仿宋" w:eastAsia="仿宋"/>
          <w:sz w:val="32"/>
          <w:szCs w:val="32"/>
        </w:rPr>
        <w:t>.</w:t>
      </w:r>
      <w:r>
        <w:rPr>
          <w:rFonts w:hint="eastAsia" w:ascii="仿宋" w:hAnsi="仿宋" w:eastAsia="仿宋"/>
          <w:sz w:val="32"/>
          <w:szCs w:val="32"/>
        </w:rPr>
        <w:t xml:space="preserve">其他公共利益需要，确需使用土地的项目，依照法律法规规定确定公共利益需要的情形； </w:t>
      </w:r>
      <w:r>
        <w:rPr>
          <w:rFonts w:hint="eastAsia" w:ascii="仿宋" w:hAnsi="仿宋" w:eastAsia="仿宋"/>
          <w:sz w:val="32"/>
          <w:szCs w:val="32"/>
        </w:rPr>
        <w:br w:type="textWrapping"/>
      </w:r>
      <w:r>
        <w:rPr>
          <w:rFonts w:hint="eastAsia" w:ascii="仿宋" w:hAnsi="仿宋" w:eastAsia="仿宋"/>
          <w:sz w:val="32"/>
          <w:szCs w:val="32"/>
        </w:rPr>
        <w:t>　　3</w:t>
      </w:r>
      <w:r>
        <w:rPr>
          <w:rFonts w:ascii="仿宋" w:hAnsi="仿宋" w:eastAsia="仿宋"/>
          <w:sz w:val="32"/>
          <w:szCs w:val="32"/>
        </w:rPr>
        <w:t>.</w:t>
      </w:r>
      <w:r>
        <w:rPr>
          <w:rFonts w:hint="eastAsia" w:ascii="仿宋" w:hAnsi="仿宋" w:eastAsia="仿宋"/>
          <w:sz w:val="32"/>
          <w:szCs w:val="32"/>
        </w:rPr>
        <w:t>土地出让等有偿使用合同约定的使用期限届满，土地使用者未申请续期或者申请续期未获批准的；</w:t>
      </w:r>
      <w:r>
        <w:rPr>
          <w:rFonts w:hint="eastAsia" w:ascii="仿宋" w:hAnsi="仿宋" w:eastAsia="仿宋"/>
          <w:sz w:val="32"/>
          <w:szCs w:val="32"/>
        </w:rPr>
        <w:br w:type="textWrapping"/>
      </w:r>
      <w:r>
        <w:rPr>
          <w:rFonts w:hint="eastAsia" w:ascii="仿宋" w:hAnsi="仿宋" w:eastAsia="仿宋"/>
          <w:sz w:val="32"/>
          <w:szCs w:val="32"/>
        </w:rPr>
        <w:t>　　4</w:t>
      </w:r>
      <w:r>
        <w:rPr>
          <w:rFonts w:ascii="仿宋" w:hAnsi="仿宋" w:eastAsia="仿宋"/>
          <w:sz w:val="32"/>
          <w:szCs w:val="32"/>
        </w:rPr>
        <w:t>.</w:t>
      </w:r>
      <w:r>
        <w:rPr>
          <w:rFonts w:hint="eastAsia" w:ascii="仿宋" w:hAnsi="仿宋" w:eastAsia="仿宋"/>
          <w:sz w:val="32"/>
          <w:szCs w:val="32"/>
        </w:rPr>
        <w:t>因单位撤销、迁移等原因，停止使用原划拨的国有土地的；</w:t>
      </w:r>
      <w:r>
        <w:rPr>
          <w:rFonts w:hint="eastAsia" w:ascii="仿宋" w:hAnsi="仿宋" w:eastAsia="仿宋"/>
          <w:sz w:val="32"/>
          <w:szCs w:val="32"/>
        </w:rPr>
        <w:br w:type="textWrapping"/>
      </w:r>
      <w:r>
        <w:rPr>
          <w:rFonts w:hint="eastAsia" w:ascii="仿宋" w:hAnsi="仿宋" w:eastAsia="仿宋"/>
          <w:sz w:val="32"/>
          <w:szCs w:val="32"/>
        </w:rPr>
        <w:t>　　5</w:t>
      </w:r>
      <w:r>
        <w:rPr>
          <w:rFonts w:ascii="仿宋" w:hAnsi="仿宋" w:eastAsia="仿宋"/>
          <w:sz w:val="32"/>
          <w:szCs w:val="32"/>
        </w:rPr>
        <w:t>.</w:t>
      </w:r>
      <w:r>
        <w:rPr>
          <w:rFonts w:hint="eastAsia" w:ascii="仿宋" w:hAnsi="仿宋" w:eastAsia="仿宋"/>
          <w:sz w:val="32"/>
          <w:szCs w:val="32"/>
        </w:rPr>
        <w:t>公路、铁路、机场、矿场等经核准报废的；</w:t>
      </w:r>
    </w:p>
    <w:p>
      <w:pPr>
        <w:spacing w:after="0" w:line="560" w:lineRule="exact"/>
        <w:ind w:firstLine="640" w:firstLineChars="200"/>
        <w:jc w:val="both"/>
        <w:rPr>
          <w:rFonts w:ascii="仿宋" w:hAnsi="仿宋" w:eastAsia="仿宋"/>
          <w:sz w:val="32"/>
          <w:szCs w:val="32"/>
        </w:rPr>
      </w:pPr>
      <w:r>
        <w:rPr>
          <w:rFonts w:hint="eastAsia" w:ascii="仿宋" w:hAnsi="仿宋" w:eastAsia="仿宋"/>
          <w:sz w:val="32"/>
          <w:szCs w:val="32"/>
        </w:rPr>
        <w:t>6</w:t>
      </w:r>
      <w:r>
        <w:rPr>
          <w:rFonts w:ascii="仿宋" w:hAnsi="仿宋" w:eastAsia="仿宋"/>
          <w:sz w:val="32"/>
          <w:szCs w:val="32"/>
        </w:rPr>
        <w:t>.</w:t>
      </w:r>
      <w:r>
        <w:rPr>
          <w:rFonts w:hint="eastAsia" w:ascii="仿宋" w:hAnsi="仿宋" w:eastAsia="仿宋"/>
          <w:sz w:val="32"/>
          <w:szCs w:val="32"/>
        </w:rPr>
        <w:t>协议有偿收回的闲置土地以及由于开发企业原因未动工开发满2年的闲置土地。</w:t>
      </w:r>
    </w:p>
    <w:p>
      <w:pPr>
        <w:spacing w:after="0" w:line="560" w:lineRule="exact"/>
        <w:ind w:firstLine="640" w:firstLineChars="200"/>
        <w:jc w:val="both"/>
        <w:rPr>
          <w:rFonts w:ascii="仿宋" w:hAnsi="仿宋" w:eastAsia="仿宋"/>
          <w:sz w:val="32"/>
          <w:szCs w:val="32"/>
        </w:rPr>
      </w:pPr>
      <w:r>
        <w:rPr>
          <w:rFonts w:hint="eastAsia" w:ascii="楷体" w:hAnsi="楷体" w:eastAsia="楷体"/>
          <w:sz w:val="32"/>
          <w:szCs w:val="32"/>
        </w:rPr>
        <w:t>（二）土地交换</w:t>
      </w:r>
      <w:r>
        <w:rPr>
          <w:rFonts w:hint="eastAsia" w:ascii="仿宋" w:hAnsi="仿宋" w:eastAsia="仿宋"/>
          <w:sz w:val="32"/>
          <w:szCs w:val="32"/>
        </w:rPr>
        <w:br w:type="textWrapping"/>
      </w:r>
      <w:r>
        <w:rPr>
          <w:rFonts w:hint="eastAsia" w:ascii="仿宋" w:hAnsi="仿宋" w:eastAsia="仿宋"/>
          <w:sz w:val="32"/>
          <w:szCs w:val="32"/>
        </w:rPr>
        <w:t>　　土地交换是2个及以上土地使用者之间，因土地储备、项目用地调整等原因，对原有地块进行部分或者整体调换的行为。土地交换应当遵循价值对等、差价互补的原则。土地交换后，当事各方所获得土地的使用权类型、用途、剩余使用期限与交换前所持有的土地应当保持不变。</w:t>
      </w:r>
      <w:r>
        <w:rPr>
          <w:rFonts w:hint="eastAsia" w:ascii="仿宋" w:hAnsi="仿宋" w:eastAsia="仿宋"/>
          <w:sz w:val="32"/>
          <w:szCs w:val="32"/>
        </w:rPr>
        <w:br w:type="textWrapping"/>
      </w:r>
      <w:r>
        <w:rPr>
          <w:rFonts w:hint="eastAsia" w:ascii="仿宋" w:hAnsi="仿宋" w:eastAsia="仿宋"/>
          <w:sz w:val="32"/>
          <w:szCs w:val="32"/>
        </w:rPr>
        <w:t>　　土地交换涉及规划调整的，应当报自然资源和城乡建设部门按照规定审批，核发交换土地《规划设计条件》。土地交换方案及交换价格，由交换当事各方依据土地评估价等协商拟定，报自然资源和城乡建设部门按照规定审批。交换土地可采取划拨、协议出让、协议租赁等方式供地。</w:t>
      </w:r>
      <w:r>
        <w:rPr>
          <w:rFonts w:hint="eastAsia" w:ascii="仿宋" w:hAnsi="仿宋" w:eastAsia="仿宋"/>
          <w:sz w:val="32"/>
          <w:szCs w:val="32"/>
        </w:rPr>
        <w:br w:type="textWrapping"/>
      </w:r>
      <w:r>
        <w:rPr>
          <w:rFonts w:hint="eastAsia" w:ascii="仿宋" w:hAnsi="仿宋" w:eastAsia="仿宋"/>
          <w:sz w:val="32"/>
          <w:szCs w:val="32"/>
        </w:rPr>
        <w:t>　　</w:t>
      </w:r>
      <w:r>
        <w:rPr>
          <w:rFonts w:hint="eastAsia" w:ascii="楷体" w:hAnsi="楷体" w:eastAsia="楷体"/>
          <w:sz w:val="32"/>
          <w:szCs w:val="32"/>
        </w:rPr>
        <w:t>（三）出让土地改变使用条件</w:t>
      </w:r>
      <w:r>
        <w:rPr>
          <w:rFonts w:hint="eastAsia" w:ascii="仿宋" w:hAnsi="仿宋" w:eastAsia="仿宋"/>
          <w:sz w:val="32"/>
          <w:szCs w:val="32"/>
        </w:rPr>
        <w:br w:type="textWrapping"/>
      </w:r>
      <w:r>
        <w:rPr>
          <w:rFonts w:hint="eastAsia" w:ascii="仿宋" w:hAnsi="仿宋" w:eastAsia="仿宋"/>
          <w:sz w:val="32"/>
          <w:szCs w:val="32"/>
        </w:rPr>
        <w:t>　　1．经营性项目调整容积率，需补缴土地出让金的，按照评估机构在新容积率规划条件下评估的楼面地价乘以新增建筑面积确定，估价期日应当以自然资源和城乡建设部门依法受理补缴土地出让金申请时点为准。新增建筑面积按照相关部门批准变更规划条件所新增的建筑面积或者竣工验收时实测的新增建筑面积核定。因调低容积率造成地价增值的，补缴土地出让金可按照估价期日新旧容积率规划条件下总地价的差额确定。容积率调整前后均低于1.0的，按照容积率为1.0核算楼面地价。</w:t>
      </w:r>
      <w:r>
        <w:rPr>
          <w:rFonts w:hint="eastAsia" w:ascii="仿宋" w:hAnsi="仿宋" w:eastAsia="仿宋"/>
          <w:sz w:val="32"/>
          <w:szCs w:val="32"/>
        </w:rPr>
        <w:br w:type="textWrapping"/>
      </w:r>
      <w:r>
        <w:rPr>
          <w:rFonts w:hint="eastAsia" w:ascii="仿宋" w:hAnsi="仿宋" w:eastAsia="仿宋"/>
          <w:sz w:val="32"/>
          <w:szCs w:val="32"/>
        </w:rPr>
        <w:t>　　以下情形</w:t>
      </w:r>
      <w:r>
        <w:rPr>
          <w:rFonts w:ascii="仿宋" w:hAnsi="仿宋" w:eastAsia="仿宋"/>
          <w:sz w:val="32"/>
          <w:szCs w:val="32"/>
        </w:rPr>
        <w:t>可不增收土地价款</w:t>
      </w:r>
      <w:r>
        <w:rPr>
          <w:rFonts w:hint="eastAsia" w:ascii="仿宋" w:hAnsi="仿宋" w:eastAsia="仿宋"/>
          <w:sz w:val="32"/>
          <w:szCs w:val="32"/>
        </w:rPr>
        <w:t>：</w:t>
      </w:r>
    </w:p>
    <w:p>
      <w:pPr>
        <w:spacing w:after="0" w:line="560" w:lineRule="exact"/>
        <w:ind w:firstLine="640" w:firstLineChars="200"/>
        <w:jc w:val="both"/>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1）在符合规划、不改变用途的前提下，土地使用者通过厂房加层、厂区改造、内部用地整理等途径提高自有工业用地或仓储用地土地利用率和增加容积率</w:t>
      </w:r>
      <w:r>
        <w:rPr>
          <w:rFonts w:hint="eastAsia" w:ascii="仿宋" w:hAnsi="仿宋" w:eastAsia="仿宋"/>
          <w:sz w:val="32"/>
          <w:szCs w:val="32"/>
        </w:rPr>
        <w:t>；</w:t>
      </w:r>
    </w:p>
    <w:p>
      <w:pPr>
        <w:spacing w:after="0" w:line="560" w:lineRule="exact"/>
        <w:ind w:firstLine="640" w:firstLineChars="200"/>
        <w:jc w:val="both"/>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2）土地使用权人在原有偿使用的土地上建成的养老服务设施，由非营利性养老机构使用，改变规划条件的部分</w:t>
      </w:r>
      <w:r>
        <w:rPr>
          <w:rFonts w:hint="eastAsia" w:ascii="仿宋" w:hAnsi="仿宋" w:eastAsia="仿宋"/>
          <w:sz w:val="32"/>
          <w:szCs w:val="32"/>
        </w:rPr>
        <w:t>；</w:t>
      </w:r>
    </w:p>
    <w:p>
      <w:pPr>
        <w:spacing w:after="0" w:line="560" w:lineRule="exact"/>
        <w:ind w:firstLine="640" w:firstLineChars="200"/>
        <w:jc w:val="both"/>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3）在不违反规划且征得居民等同意前提下，利用城镇老旧小区内空地、荒地、绿地及拆除违法建设腾空土地等加装电梯和建设各类环境及配套设施和公共服务设施</w:t>
      </w:r>
      <w:r>
        <w:rPr>
          <w:rFonts w:hint="eastAsia" w:ascii="仿宋" w:hAnsi="仿宋" w:eastAsia="仿宋"/>
          <w:sz w:val="32"/>
          <w:szCs w:val="32"/>
        </w:rPr>
        <w:t>；</w:t>
      </w:r>
    </w:p>
    <w:p>
      <w:pPr>
        <w:spacing w:after="0" w:line="560" w:lineRule="exact"/>
        <w:ind w:firstLine="640" w:firstLineChars="200"/>
        <w:jc w:val="both"/>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4）在符合规划相关标准规范的前提下，在已建成的住宅小区内增加停车设施建筑面积</w:t>
      </w:r>
      <w:r>
        <w:rPr>
          <w:rFonts w:hint="eastAsia" w:ascii="仿宋" w:hAnsi="仿宋" w:eastAsia="仿宋"/>
          <w:sz w:val="32"/>
          <w:szCs w:val="32"/>
        </w:rPr>
        <w:t>；</w:t>
      </w:r>
    </w:p>
    <w:p>
      <w:pPr>
        <w:spacing w:after="0" w:line="560" w:lineRule="exact"/>
        <w:ind w:firstLine="640" w:firstLineChars="200"/>
        <w:jc w:val="both"/>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5）新建建筑充分利用地下空间，超过停车配建标准建设地下停车场，并作为公共停车场向社会开放且符合规划的超配部分</w:t>
      </w:r>
      <w:r>
        <w:rPr>
          <w:rFonts w:hint="eastAsia" w:ascii="仿宋" w:hAnsi="仿宋" w:eastAsia="仿宋"/>
          <w:sz w:val="32"/>
          <w:szCs w:val="32"/>
        </w:rPr>
        <w:t>；</w:t>
      </w:r>
    </w:p>
    <w:p>
      <w:pPr>
        <w:spacing w:after="0" w:line="560" w:lineRule="exact"/>
        <w:ind w:firstLine="640" w:firstLineChars="200"/>
        <w:jc w:val="both"/>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6）在符合规划、不改变用途的前提下，因完善“急时”功能而增加容积率的“平急两用”公共基础设施项目</w:t>
      </w:r>
      <w:r>
        <w:rPr>
          <w:rFonts w:hint="eastAsia" w:ascii="仿宋" w:hAnsi="仿宋" w:eastAsia="仿宋"/>
          <w:sz w:val="32"/>
          <w:szCs w:val="32"/>
        </w:rPr>
        <w:t>；</w:t>
      </w:r>
    </w:p>
    <w:p>
      <w:pPr>
        <w:spacing w:after="0" w:line="560" w:lineRule="exact"/>
        <w:ind w:firstLine="640" w:firstLineChars="200"/>
        <w:jc w:val="both"/>
        <w:rPr>
          <w:rFonts w:ascii="仿宋" w:hAnsi="仿宋" w:eastAsia="仿宋" w:cs="仿宋"/>
          <w:sz w:val="32"/>
          <w:szCs w:val="32"/>
        </w:rPr>
      </w:pPr>
      <w:r>
        <w:rPr>
          <w:rFonts w:hint="eastAsia" w:ascii="仿宋" w:hAnsi="仿宋" w:eastAsia="仿宋"/>
          <w:sz w:val="32"/>
          <w:szCs w:val="32"/>
        </w:rPr>
        <w:t>（7）因加装电梯等公共配套设施建设增加面积的项目。</w:t>
      </w:r>
    </w:p>
    <w:p>
      <w:pPr>
        <w:spacing w:after="0" w:line="560" w:lineRule="exact"/>
        <w:ind w:firstLine="640" w:firstLineChars="200"/>
        <w:jc w:val="both"/>
        <w:rPr>
          <w:rFonts w:ascii="仿宋" w:hAnsi="仿宋" w:eastAsia="仿宋" w:cs="仿宋"/>
          <w:sz w:val="32"/>
          <w:szCs w:val="32"/>
        </w:rPr>
      </w:pPr>
      <w:r>
        <w:rPr>
          <w:rFonts w:hint="eastAsia" w:ascii="仿宋" w:hAnsi="仿宋" w:eastAsia="仿宋"/>
          <w:sz w:val="32"/>
          <w:szCs w:val="32"/>
        </w:rPr>
        <w:t>2．经营性项目改变土地用途，需补缴土地出让金的，按照新、旧用途楼面地价之差乘以建筑面积确定。新、旧用途楼面地价均为估价期日的市场价格，估价期日应以自然资源和城乡建设部门依法受理补缴土地出让金申请时点为准。用地结构调整的，分别核算各用途建筑面积变化带来的地价增减额，合并计算应补缴土地出让金。各用途的楼面地价按调整结构后确定。危险化学品生产储存企业工业用地调整用途的，按照新用途土地评估价，扣减现状工业用地价格以及土地污染治理成本核定土地出让金。</w:t>
      </w:r>
    </w:p>
    <w:p>
      <w:pPr>
        <w:spacing w:after="0" w:line="560" w:lineRule="exact"/>
        <w:ind w:firstLine="640" w:firstLineChars="200"/>
        <w:jc w:val="both"/>
        <w:rPr>
          <w:rFonts w:ascii="仿宋" w:hAnsi="仿宋" w:eastAsia="仿宋"/>
          <w:sz w:val="32"/>
          <w:szCs w:val="32"/>
        </w:rPr>
      </w:pPr>
      <w:r>
        <w:rPr>
          <w:rFonts w:hint="eastAsia" w:ascii="仿宋" w:hAnsi="仿宋" w:eastAsia="仿宋"/>
          <w:sz w:val="32"/>
          <w:szCs w:val="32"/>
        </w:rPr>
        <w:t>3．出让土地改变使用条件项目，事前已进行资金平衡测算并报市人民政府批准的，按照批准的标准补缴土地出让金。</w:t>
      </w:r>
      <w:r>
        <w:rPr>
          <w:rFonts w:hint="eastAsia" w:ascii="仿宋" w:hAnsi="仿宋" w:eastAsia="仿宋"/>
          <w:sz w:val="32"/>
          <w:szCs w:val="32"/>
        </w:rPr>
        <w:br w:type="textWrapping"/>
      </w:r>
      <w:r>
        <w:rPr>
          <w:rFonts w:hint="eastAsia" w:ascii="仿宋" w:hAnsi="仿宋" w:eastAsia="仿宋"/>
          <w:sz w:val="32"/>
          <w:szCs w:val="32"/>
        </w:rPr>
        <w:t>　　</w:t>
      </w:r>
      <w:r>
        <w:rPr>
          <w:rFonts w:hint="eastAsia" w:ascii="楷体" w:hAnsi="楷体" w:eastAsia="楷体"/>
          <w:sz w:val="32"/>
          <w:szCs w:val="32"/>
        </w:rPr>
        <w:t>（四）竣工验收规划条件核实增加建筑面积</w:t>
      </w:r>
      <w:r>
        <w:rPr>
          <w:rFonts w:hint="eastAsia" w:ascii="仿宋" w:hAnsi="仿宋" w:eastAsia="仿宋"/>
          <w:sz w:val="32"/>
          <w:szCs w:val="32"/>
        </w:rPr>
        <w:br w:type="textWrapping"/>
      </w:r>
      <w:r>
        <w:rPr>
          <w:rFonts w:hint="eastAsia" w:ascii="仿宋" w:hAnsi="仿宋" w:eastAsia="仿宋"/>
          <w:sz w:val="32"/>
          <w:szCs w:val="32"/>
        </w:rPr>
        <w:t>　　自然资源和城乡建设部门按照土地评估价核收土地出让金，估价期日原则上以自然资源和城乡建设部门依法受理补缴土地出让金申请时点为准。</w:t>
      </w:r>
    </w:p>
    <w:p>
      <w:pPr>
        <w:spacing w:after="0" w:line="560" w:lineRule="exact"/>
        <w:ind w:firstLine="640" w:firstLineChars="200"/>
        <w:jc w:val="both"/>
        <w:rPr>
          <w:rFonts w:ascii="仿宋" w:hAnsi="仿宋" w:eastAsia="仿宋"/>
          <w:sz w:val="32"/>
          <w:szCs w:val="32"/>
        </w:rPr>
      </w:pPr>
      <w:r>
        <w:rPr>
          <w:rFonts w:hint="eastAsia" w:ascii="仿宋" w:hAnsi="仿宋" w:eastAsia="仿宋"/>
          <w:sz w:val="32"/>
          <w:szCs w:val="32"/>
        </w:rPr>
        <w:t>1．分期核实项目，建设单位可选择分期或者一次性缴纳超建部分土地出让金。分期缴纳的，最后一期应当缴清全部土地出让金。</w:t>
      </w:r>
      <w:r>
        <w:rPr>
          <w:rFonts w:hint="eastAsia" w:ascii="仿宋" w:hAnsi="仿宋" w:eastAsia="仿宋"/>
          <w:sz w:val="32"/>
          <w:szCs w:val="32"/>
        </w:rPr>
        <w:br w:type="textWrapping"/>
      </w:r>
      <w:r>
        <w:rPr>
          <w:rFonts w:hint="eastAsia" w:ascii="仿宋" w:hAnsi="仿宋" w:eastAsia="仿宋"/>
          <w:sz w:val="32"/>
          <w:szCs w:val="32"/>
        </w:rPr>
        <w:t>　　2．公共租赁住房（含廉租住房）、限价商品房等保障性住房及“城中村”还建住房等项目，属于合理误差或者经住房保障房管等部门认定仍按照原批准方案销售的超建部分，按照原收益缴纳方案补缴土地出让金；其他超建部分，按照评估楼面地价核定土地出让金。</w:t>
      </w:r>
      <w:r>
        <w:rPr>
          <w:rFonts w:hint="eastAsia" w:ascii="仿宋" w:hAnsi="仿宋" w:eastAsia="仿宋"/>
          <w:sz w:val="32"/>
          <w:szCs w:val="32"/>
        </w:rPr>
        <w:br w:type="textWrapping"/>
      </w:r>
      <w:r>
        <w:rPr>
          <w:rFonts w:hint="eastAsia" w:ascii="仿宋" w:hAnsi="仿宋" w:eastAsia="仿宋"/>
          <w:sz w:val="32"/>
          <w:szCs w:val="32"/>
        </w:rPr>
        <w:t>　　3．加油站核实超建部分属于罩棚等构筑物的，按照商业用地基准容积率下基准地价对应楼面地价核定土地出让金。补缴土地出让金按照基准地价乘以超建建筑面积确定。</w:t>
      </w:r>
      <w:r>
        <w:rPr>
          <w:rFonts w:hint="eastAsia" w:ascii="仿宋" w:hAnsi="仿宋" w:eastAsia="仿宋"/>
          <w:sz w:val="32"/>
          <w:szCs w:val="32"/>
        </w:rPr>
        <w:br w:type="textWrapping"/>
      </w:r>
      <w:r>
        <w:rPr>
          <w:rFonts w:hint="eastAsia" w:ascii="仿宋" w:hAnsi="仿宋" w:eastAsia="仿宋"/>
          <w:sz w:val="32"/>
          <w:szCs w:val="32"/>
        </w:rPr>
        <w:t>　　</w:t>
      </w:r>
      <w:r>
        <w:rPr>
          <w:rFonts w:hint="eastAsia" w:ascii="楷体" w:hAnsi="楷体" w:eastAsia="楷体"/>
          <w:sz w:val="32"/>
          <w:szCs w:val="32"/>
        </w:rPr>
        <w:t>（五）地下空间项目</w:t>
      </w:r>
      <w:r>
        <w:rPr>
          <w:rFonts w:hint="eastAsia" w:ascii="仿宋" w:hAnsi="仿宋" w:eastAsia="仿宋"/>
          <w:sz w:val="32"/>
          <w:szCs w:val="32"/>
        </w:rPr>
        <w:br w:type="textWrapping"/>
      </w:r>
      <w:r>
        <w:rPr>
          <w:rFonts w:hint="eastAsia" w:ascii="仿宋" w:hAnsi="仿宋" w:eastAsia="仿宋"/>
          <w:sz w:val="32"/>
          <w:szCs w:val="32"/>
        </w:rPr>
        <w:t>　　按照相应主导功能用途、土地级别、使用年限的地上建设用地评估价的30%核定土地出让金。地下空间国有建设用地使用权以出让或租赁方式取得的，其土地出让价款（租金）分层计算。各地可根据当地基准地价和不动产交易实际，评估后确定地下空间国有建设用地使用权价格，并充分考虑成本差异，实行地价向下递减的优惠政策。除地方另有规定外，地下三层及以下可减免土地出让价款（租金）。</w:t>
      </w:r>
      <w:r>
        <w:rPr>
          <w:rFonts w:hint="eastAsia" w:ascii="仿宋" w:hAnsi="仿宋" w:eastAsia="仿宋"/>
          <w:sz w:val="32"/>
          <w:szCs w:val="32"/>
        </w:rPr>
        <w:br w:type="textWrapping"/>
      </w:r>
      <w:r>
        <w:rPr>
          <w:rFonts w:hint="eastAsia" w:ascii="仿宋" w:hAnsi="仿宋" w:eastAsia="仿宋"/>
          <w:sz w:val="32"/>
          <w:szCs w:val="32"/>
        </w:rPr>
        <w:t>　　1．独立式地下空间项目，其土地出让金按照基准容积率下地上建设用地评估楼面地价与批准建筑面积之积的30%核定。</w:t>
      </w:r>
      <w:r>
        <w:rPr>
          <w:rFonts w:hint="eastAsia" w:ascii="仿宋" w:hAnsi="仿宋" w:eastAsia="仿宋"/>
          <w:sz w:val="32"/>
          <w:szCs w:val="32"/>
        </w:rPr>
        <w:br w:type="textWrapping"/>
      </w:r>
      <w:r>
        <w:rPr>
          <w:rFonts w:hint="eastAsia" w:ascii="仿宋" w:hAnsi="仿宋" w:eastAsia="仿宋"/>
          <w:sz w:val="32"/>
          <w:szCs w:val="32"/>
        </w:rPr>
        <w:t>　　2．连建式地下空间项目，属于经营性用地的，土地出让金与地上部分合并计算。地下空间土地出让金按照地上地下总容积率下地上建设用地评估楼面地价与地下建筑面积之积的30%核定。属于其它用地的，土地出让金按照基准容积率下地上建设用地评估楼面地价与批准建筑面积之积的30%核定。</w:t>
      </w:r>
      <w:r>
        <w:rPr>
          <w:rFonts w:hint="eastAsia" w:ascii="仿宋" w:hAnsi="仿宋" w:eastAsia="仿宋"/>
          <w:sz w:val="32"/>
          <w:szCs w:val="32"/>
        </w:rPr>
        <w:br w:type="textWrapping"/>
      </w:r>
      <w:r>
        <w:rPr>
          <w:rFonts w:hint="eastAsia" w:ascii="仿宋" w:hAnsi="仿宋" w:eastAsia="仿宋"/>
          <w:sz w:val="32"/>
          <w:szCs w:val="32"/>
        </w:rPr>
        <w:t>　　3．配建地下停车场净用地面积按水平投影最大计容用地面积确定，土地出让金按不低于工业用地评估价的6%核定。</w:t>
      </w:r>
      <w:r>
        <w:rPr>
          <w:rFonts w:hint="eastAsia" w:ascii="仿宋" w:hAnsi="仿宋" w:eastAsia="仿宋"/>
          <w:sz w:val="32"/>
          <w:szCs w:val="32"/>
        </w:rPr>
        <w:br w:type="textWrapping"/>
      </w:r>
      <w:r>
        <w:rPr>
          <w:rFonts w:hint="eastAsia" w:ascii="仿宋" w:hAnsi="仿宋" w:eastAsia="仿宋"/>
          <w:sz w:val="32"/>
          <w:szCs w:val="32"/>
        </w:rPr>
        <w:t>　　</w:t>
      </w:r>
      <w:r>
        <w:rPr>
          <w:rFonts w:hint="eastAsia" w:ascii="楷体" w:hAnsi="楷体" w:eastAsia="楷体"/>
          <w:sz w:val="32"/>
          <w:szCs w:val="32"/>
        </w:rPr>
        <w:t>（六）交通场站用地项目</w:t>
      </w:r>
      <w:r>
        <w:rPr>
          <w:rFonts w:hint="eastAsia" w:ascii="楷体" w:hAnsi="楷体" w:eastAsia="楷体"/>
          <w:sz w:val="32"/>
          <w:szCs w:val="32"/>
        </w:rPr>
        <w:br w:type="textWrapping"/>
      </w:r>
      <w:r>
        <w:rPr>
          <w:rFonts w:hint="eastAsia" w:ascii="仿宋" w:hAnsi="仿宋" w:eastAsia="仿宋"/>
          <w:sz w:val="32"/>
          <w:szCs w:val="32"/>
        </w:rPr>
        <w:t>　　1．符合《划拨用地目录》的交通场站用地，可采取划拨方式供地；不符合该目录的，应当依法实行有偿使用。对新建独立占地的、经营性的交通场站用地（含配套商业在20%以内的），同一宗用地公告后只有一个意向用地者的，可以协议方式供应土地。配套商业超过20%的，按照交通场站用地、商业服务业用地公开出让。</w:t>
      </w:r>
    </w:p>
    <w:p>
      <w:pPr>
        <w:spacing w:after="0" w:line="560" w:lineRule="exact"/>
        <w:ind w:firstLine="640" w:firstLineChars="200"/>
        <w:jc w:val="both"/>
        <w:rPr>
          <w:rFonts w:ascii="仿宋" w:hAnsi="仿宋" w:eastAsia="仿宋"/>
          <w:bCs/>
          <w:sz w:val="32"/>
          <w:szCs w:val="32"/>
        </w:rPr>
      </w:pPr>
      <w:r>
        <w:rPr>
          <w:rFonts w:hint="eastAsia" w:ascii="仿宋" w:hAnsi="仿宋" w:eastAsia="仿宋"/>
          <w:sz w:val="32"/>
          <w:szCs w:val="32"/>
        </w:rPr>
        <w:t>2．建设单位利用自有用地建设停车场项目，申请按照交通场站用地用途办理不动产变更登记的，应当先行办理土地供应手续，原用地以划拨方式取得的，继续以划拨方式供应；原用地以出让方式取得的，以协议出让方式供应，新增建筑面积按照工业评估地价的20%核定土地出让金。建设单位不申请办理不动产变更登记的，可以不再重新办理土地供应手续。</w:t>
      </w:r>
      <w:r>
        <w:rPr>
          <w:rFonts w:hint="eastAsia" w:ascii="仿宋" w:hAnsi="仿宋" w:eastAsia="仿宋"/>
          <w:sz w:val="32"/>
          <w:szCs w:val="32"/>
        </w:rPr>
        <w:br w:type="textWrapping"/>
      </w:r>
      <w:r>
        <w:rPr>
          <w:rFonts w:hint="eastAsia" w:ascii="仿宋" w:hAnsi="仿宋" w:eastAsia="仿宋"/>
          <w:sz w:val="32"/>
          <w:szCs w:val="32"/>
        </w:rPr>
        <w:t>　　3．建设单位利用地下空间建设停车场项目，地面权属不变，地下土地权属依法供应给停车场建设单位。地下建设用地使用权价格按照地下空间管理政策确定。</w:t>
      </w:r>
      <w:r>
        <w:rPr>
          <w:rFonts w:hint="eastAsia" w:ascii="仿宋" w:hAnsi="仿宋" w:eastAsia="仿宋"/>
          <w:sz w:val="32"/>
          <w:szCs w:val="32"/>
        </w:rPr>
        <w:br w:type="textWrapping"/>
      </w:r>
      <w:r>
        <w:rPr>
          <w:rFonts w:hint="eastAsia" w:ascii="仿宋" w:hAnsi="仿宋" w:eastAsia="仿宋"/>
          <w:sz w:val="32"/>
          <w:szCs w:val="32"/>
        </w:rPr>
        <w:t>　　</w:t>
      </w:r>
      <w:r>
        <w:rPr>
          <w:rFonts w:hint="eastAsia" w:ascii="楷体" w:hAnsi="楷体" w:eastAsia="楷体"/>
          <w:sz w:val="32"/>
          <w:szCs w:val="32"/>
        </w:rPr>
        <w:t>（七）</w:t>
      </w:r>
      <w:bookmarkStart w:id="16" w:name="_Hlk218698675"/>
      <w:r>
        <w:rPr>
          <w:rFonts w:hint="eastAsia" w:ascii="楷体" w:hAnsi="楷体" w:eastAsia="楷体"/>
          <w:sz w:val="32"/>
          <w:szCs w:val="32"/>
        </w:rPr>
        <w:t>“城中村”改造产业项目</w:t>
      </w:r>
      <w:bookmarkEnd w:id="16"/>
      <w:r>
        <w:rPr>
          <w:rFonts w:hint="eastAsia" w:ascii="楷体" w:hAnsi="楷体" w:eastAsia="楷体"/>
          <w:sz w:val="32"/>
          <w:szCs w:val="32"/>
        </w:rPr>
        <w:br w:type="textWrapping"/>
      </w:r>
      <w:r>
        <w:rPr>
          <w:rFonts w:hint="eastAsia" w:ascii="仿宋" w:hAnsi="仿宋" w:eastAsia="仿宋"/>
          <w:sz w:val="32"/>
          <w:szCs w:val="32"/>
        </w:rPr>
        <w:t>　　</w:t>
      </w:r>
      <w:bookmarkStart w:id="17" w:name="_Hlk213250171"/>
      <w:r>
        <w:rPr>
          <w:rFonts w:hint="eastAsia" w:ascii="仿宋" w:hAnsi="仿宋" w:eastAsia="仿宋"/>
          <w:sz w:val="32"/>
          <w:szCs w:val="32"/>
        </w:rPr>
        <w:t>1.符合《划拨用地目录》规定的产业用地项目，可以划拨方式供地；不符合《划拨用地目录》规定的产业用地项目，原则上应当公开出让，鼓励“带方案”挂牌；</w:t>
      </w:r>
      <w:r>
        <w:rPr>
          <w:rFonts w:hint="eastAsia" w:ascii="仿宋" w:hAnsi="仿宋" w:eastAsia="仿宋"/>
          <w:bCs/>
          <w:sz w:val="32"/>
          <w:szCs w:val="32"/>
        </w:rPr>
        <w:t>符合《协议出让国有土地使用权规定》中协议出让范围的产业用地，可以协议出让方式供应。</w:t>
      </w:r>
    </w:p>
    <w:p>
      <w:pPr>
        <w:spacing w:after="0" w:line="560" w:lineRule="exact"/>
        <w:ind w:firstLine="640" w:firstLineChars="200"/>
        <w:jc w:val="both"/>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w:t>
      </w:r>
      <w:r>
        <w:rPr>
          <w:rFonts w:hint="eastAsia" w:ascii="仿宋" w:hAnsi="仿宋" w:eastAsia="仿宋"/>
          <w:sz w:val="32"/>
          <w:szCs w:val="32"/>
        </w:rPr>
        <w:t>产业用地协议出让的，应当供应给经区人民政府确认的村改制经济实体及其全资子公司，出让合同应标注“产业用地”，不动产登记时备注“产业用地”。产业用地经批准改变用途用于非商品住宅建设、仍由村集体经济组织持有，按照规定补缴土地出让金。</w:t>
      </w:r>
    </w:p>
    <w:p>
      <w:pPr>
        <w:spacing w:after="0" w:line="560" w:lineRule="exact"/>
        <w:ind w:firstLine="640" w:firstLineChars="200"/>
        <w:jc w:val="both"/>
        <w:rPr>
          <w:rFonts w:ascii="楷体" w:hAnsi="楷体" w:eastAsia="楷体" w:cs="楷体"/>
          <w:bCs/>
          <w:i/>
          <w:iCs/>
          <w:sz w:val="32"/>
          <w:szCs w:val="32"/>
        </w:rPr>
      </w:pPr>
      <w:r>
        <w:rPr>
          <w:rFonts w:ascii="仿宋" w:hAnsi="仿宋" w:eastAsia="仿宋"/>
          <w:sz w:val="32"/>
          <w:szCs w:val="32"/>
        </w:rPr>
        <w:t>3</w:t>
      </w:r>
      <w:r>
        <w:rPr>
          <w:rFonts w:hint="eastAsia" w:ascii="仿宋" w:hAnsi="仿宋" w:eastAsia="仿宋"/>
          <w:sz w:val="32"/>
          <w:szCs w:val="32"/>
        </w:rPr>
        <w:t>.产业用地公开出让以及村集体经济组织持有的产业用地及地上建筑物通过土地二级市场转让的，所在区人民政府应当审查村集体经济组织制订的原村民安置补偿方案和生活保障方案，并对方案落实情况实施监督检查，保障原村民的合法权益。</w:t>
      </w:r>
      <w:bookmarkEnd w:id="17"/>
      <w:r>
        <w:rPr>
          <w:rFonts w:hint="eastAsia" w:ascii="仿宋" w:hAnsi="仿宋" w:eastAsia="仿宋"/>
          <w:sz w:val="32"/>
          <w:szCs w:val="32"/>
        </w:rPr>
        <w:br w:type="textWrapping"/>
      </w:r>
      <w:r>
        <w:rPr>
          <w:rFonts w:hint="eastAsia" w:ascii="仿宋" w:hAnsi="仿宋" w:eastAsia="仿宋"/>
          <w:sz w:val="32"/>
          <w:szCs w:val="32"/>
        </w:rPr>
        <w:t>　　</w:t>
      </w:r>
      <w:r>
        <w:rPr>
          <w:rFonts w:hint="eastAsia" w:ascii="楷体" w:hAnsi="楷体" w:eastAsia="楷体"/>
          <w:sz w:val="32"/>
          <w:szCs w:val="32"/>
        </w:rPr>
        <w:t>（八）规划指标打通、转移项目</w:t>
      </w:r>
      <w:r>
        <w:rPr>
          <w:rFonts w:hint="eastAsia" w:ascii="仿宋" w:hAnsi="仿宋" w:eastAsia="仿宋"/>
          <w:sz w:val="32"/>
          <w:szCs w:val="32"/>
        </w:rPr>
        <w:br w:type="textWrapping"/>
      </w:r>
      <w:r>
        <w:rPr>
          <w:rFonts w:hint="eastAsia" w:ascii="仿宋" w:hAnsi="仿宋" w:eastAsia="仿宋"/>
          <w:sz w:val="32"/>
          <w:szCs w:val="32"/>
        </w:rPr>
        <w:t>　　同一用地单位、用地单位和全资子公司，以及各全资子公司之间的不同地块，因实施城市规划的要求，自然资源和城乡建设部门可以在维持打通地块总规模、用途比例不变的情况下，调整不同土地出让合同项下的土地使用条件，分别核算不同地块因土地使用条件调整带来的地价增减额，合并计算整体打通应补缴或退还的土地出让金后办理出让合同变更手续。</w:t>
      </w:r>
      <w:r>
        <w:rPr>
          <w:rFonts w:hint="eastAsia" w:ascii="仿宋" w:hAnsi="仿宋" w:eastAsia="仿宋"/>
          <w:sz w:val="32"/>
          <w:szCs w:val="32"/>
        </w:rPr>
        <w:br w:type="textWrapping"/>
      </w:r>
      <w:r>
        <w:rPr>
          <w:rFonts w:hint="eastAsia" w:ascii="仿宋" w:hAnsi="仿宋" w:eastAsia="仿宋"/>
          <w:sz w:val="32"/>
          <w:szCs w:val="32"/>
        </w:rPr>
        <w:t>　　</w:t>
      </w:r>
      <w:r>
        <w:rPr>
          <w:rFonts w:hint="eastAsia" w:ascii="楷体" w:hAnsi="楷体" w:eastAsia="楷体"/>
          <w:sz w:val="32"/>
          <w:szCs w:val="32"/>
        </w:rPr>
        <w:t>（九）</w:t>
      </w:r>
      <w:bookmarkStart w:id="18" w:name="_Hlk218698688"/>
      <w:r>
        <w:rPr>
          <w:rFonts w:hint="eastAsia" w:ascii="楷体" w:hAnsi="楷体" w:eastAsia="楷体"/>
          <w:sz w:val="32"/>
          <w:szCs w:val="32"/>
        </w:rPr>
        <w:t>国有企业改革保留划拨期满项目</w:t>
      </w:r>
      <w:r>
        <w:rPr>
          <w:rFonts w:hint="eastAsia" w:ascii="仿宋" w:hAnsi="仿宋" w:eastAsia="仿宋"/>
          <w:sz w:val="32"/>
          <w:szCs w:val="32"/>
        </w:rPr>
        <w:br w:type="textWrapping"/>
      </w:r>
      <w:bookmarkEnd w:id="18"/>
      <w:r>
        <w:rPr>
          <w:rFonts w:hint="eastAsia" w:ascii="仿宋" w:hAnsi="仿宋" w:eastAsia="仿宋"/>
          <w:sz w:val="32"/>
          <w:szCs w:val="32"/>
        </w:rPr>
        <w:t>　　1．国有企业改革保留划拨期满，可以采取协议租赁方式供地；原保留划拨土地使用权用途与规划用途一致的，可以采取协议出让方式供地。</w:t>
      </w:r>
    </w:p>
    <w:p>
      <w:pPr>
        <w:spacing w:line="530" w:lineRule="exact"/>
        <w:ind w:firstLine="640" w:firstLineChars="200"/>
        <w:jc w:val="both"/>
        <w:rPr>
          <w:rFonts w:ascii="楷体" w:hAnsi="楷体" w:eastAsia="楷体" w:cs="楷体"/>
          <w:bCs/>
          <w:i/>
          <w:iCs/>
          <w:sz w:val="32"/>
          <w:szCs w:val="32"/>
        </w:rPr>
      </w:pPr>
      <w:r>
        <w:rPr>
          <w:rFonts w:hint="eastAsia" w:ascii="仿宋" w:hAnsi="仿宋" w:eastAsia="仿宋"/>
          <w:sz w:val="32"/>
          <w:szCs w:val="32"/>
        </w:rPr>
        <w:t>2.</w:t>
      </w:r>
      <w:r>
        <w:rPr>
          <w:rFonts w:ascii="仿宋" w:hAnsi="仿宋" w:eastAsia="仿宋" w:cs="Times New Roman"/>
          <w:sz w:val="32"/>
          <w:szCs w:val="32"/>
        </w:rPr>
        <w:t>租赁期满或国有企业改革保留划拨期满未按规定办理有偿使用手续的，原土地使用人应补缴土地租金。补缴时间按土地使用权期满至租赁申请批准之日计算；土地使用权期满后，划拨土地使用权人发生变更的，补缴时间按土地权属登记时间至租赁申请批准之日计算。</w:t>
      </w:r>
    </w:p>
    <w:p>
      <w:pPr>
        <w:spacing w:after="0" w:line="560" w:lineRule="exact"/>
        <w:ind w:firstLine="640" w:firstLineChars="200"/>
        <w:jc w:val="both"/>
      </w:pPr>
      <w:r>
        <w:rPr>
          <w:rFonts w:hint="eastAsia" w:ascii="楷体" w:hAnsi="楷体" w:eastAsia="楷体"/>
          <w:sz w:val="32"/>
          <w:szCs w:val="32"/>
        </w:rPr>
        <w:t>（十）延长土地使用年限项目</w:t>
      </w:r>
      <w:r>
        <w:rPr>
          <w:rFonts w:hint="eastAsia" w:ascii="仿宋" w:hAnsi="仿宋" w:eastAsia="仿宋"/>
          <w:sz w:val="32"/>
          <w:szCs w:val="32"/>
        </w:rPr>
        <w:br w:type="textWrapping"/>
      </w:r>
      <w:r>
        <w:rPr>
          <w:rFonts w:hint="eastAsia" w:ascii="仿宋" w:hAnsi="仿宋" w:eastAsia="仿宋"/>
          <w:sz w:val="32"/>
          <w:szCs w:val="32"/>
        </w:rPr>
        <w:t>　　经营性项目因规划要求需要并宗实施的地块，需延长土地使用年限的，应当按照改变土地使用条件调整土地出让金的规定，缴纳所延长年限对应的出让土地出让金，延长后土地使用年限不得超过法定最高土地使用年限。</w:t>
      </w:r>
      <w:r>
        <w:rPr>
          <w:rFonts w:hint="eastAsia"/>
        </w:rPr>
        <w:t xml:space="preserve"> </w:t>
      </w:r>
    </w:p>
    <w:p>
      <w:pPr>
        <w:spacing w:after="0" w:line="560" w:lineRule="exact"/>
        <w:ind w:firstLine="640" w:firstLineChars="200"/>
        <w:jc w:val="both"/>
        <w:rPr>
          <w:rFonts w:ascii="楷体" w:hAnsi="楷体" w:eastAsia="楷体" w:cs="楷体"/>
          <w:i/>
          <w:iCs/>
          <w:sz w:val="32"/>
          <w:szCs w:val="32"/>
          <w:lang w:val="zh-CN"/>
        </w:rPr>
      </w:pPr>
      <w:r>
        <w:rPr>
          <w:rFonts w:hint="eastAsia" w:ascii="楷体" w:hAnsi="楷体" w:eastAsia="楷体"/>
          <w:sz w:val="32"/>
          <w:szCs w:val="32"/>
        </w:rPr>
        <w:t>（十一）用地手续不完善的历史遗留项目</w:t>
      </w:r>
      <w:r>
        <w:rPr>
          <w:rFonts w:hint="eastAsia" w:ascii="仿宋" w:hAnsi="仿宋" w:eastAsia="仿宋"/>
          <w:sz w:val="32"/>
          <w:szCs w:val="32"/>
        </w:rPr>
        <w:br w:type="textWrapping"/>
      </w:r>
      <w:r>
        <w:rPr>
          <w:rFonts w:hint="eastAsia" w:ascii="仿宋" w:hAnsi="仿宋" w:eastAsia="仿宋"/>
          <w:sz w:val="32"/>
          <w:szCs w:val="32"/>
        </w:rPr>
        <w:t>　　国有土地上已安置、销售的住宅、商业、办公、工业等房屋涉及的历史遗留项目，按下列方式办理：</w:t>
      </w:r>
      <w:r>
        <w:rPr>
          <w:rFonts w:hint="eastAsia" w:ascii="仿宋" w:hAnsi="仿宋" w:eastAsia="仿宋"/>
          <w:sz w:val="32"/>
          <w:szCs w:val="32"/>
        </w:rPr>
        <w:br w:type="textWrapping"/>
      </w:r>
      <w:r>
        <w:rPr>
          <w:rFonts w:hint="eastAsia" w:ascii="仿宋" w:hAnsi="仿宋" w:eastAsia="仿宋"/>
          <w:sz w:val="32"/>
          <w:szCs w:val="32"/>
        </w:rPr>
        <w:t>　　1．国家机关、企事业单位利用自有土地建设房改房、集资房的，可按划拨方式补办用地手续；</w:t>
      </w:r>
      <w:r>
        <w:rPr>
          <w:rFonts w:hint="eastAsia" w:ascii="仿宋" w:hAnsi="仿宋" w:eastAsia="仿宋"/>
          <w:sz w:val="32"/>
          <w:szCs w:val="32"/>
        </w:rPr>
        <w:br w:type="textWrapping"/>
      </w:r>
      <w:r>
        <w:rPr>
          <w:rFonts w:hint="eastAsia" w:ascii="仿宋" w:hAnsi="仿宋" w:eastAsia="仿宋"/>
          <w:sz w:val="32"/>
          <w:szCs w:val="32"/>
        </w:rPr>
        <w:t>　　2．其他建设项目，包括区人民政府认定的安置房、棚改房、经济适用房等项目，可采取划拨、协议出让等方式按照项目建设时的政策规定补办用地手续。需要评估核定土地出让金的，估价期日由各区人民政府按照项目建成、安置、销售的实际情况组织认定。土地出让金已经市人民政府批准的，按照批准的标准补缴土地出让金；</w:t>
      </w:r>
      <w:r>
        <w:rPr>
          <w:rFonts w:hint="eastAsia" w:ascii="仿宋" w:hAnsi="仿宋" w:eastAsia="仿宋"/>
          <w:sz w:val="32"/>
          <w:szCs w:val="32"/>
        </w:rPr>
        <w:br w:type="textWrapping"/>
      </w:r>
      <w:r>
        <w:rPr>
          <w:rFonts w:hint="eastAsia" w:ascii="仿宋" w:hAnsi="仿宋" w:eastAsia="仿宋"/>
          <w:sz w:val="32"/>
          <w:szCs w:val="32"/>
        </w:rPr>
        <w:t>　　3．对于已经办理了房屋所有权登记的，经公告权属清晰无争议的，按照审批权限报经市、区人民政府同意，直接按现状核发用地划拨决定书或者补办协议出让手续。</w:t>
      </w:r>
    </w:p>
    <w:p>
      <w:pPr>
        <w:spacing w:after="0" w:line="560" w:lineRule="exact"/>
        <w:ind w:firstLine="640" w:firstLineChars="200"/>
        <w:jc w:val="both"/>
        <w:rPr>
          <w:rFonts w:ascii="仿宋" w:hAnsi="仿宋" w:eastAsia="仿宋"/>
          <w:sz w:val="32"/>
          <w:szCs w:val="32"/>
        </w:rPr>
      </w:pPr>
      <w:r>
        <w:rPr>
          <w:rFonts w:hint="eastAsia" w:ascii="楷体" w:hAnsi="楷体" w:eastAsia="楷体"/>
          <w:sz w:val="32"/>
          <w:szCs w:val="32"/>
        </w:rPr>
        <w:t>（十二）毛地批租历史遗留项目</w:t>
      </w:r>
      <w:r>
        <w:rPr>
          <w:rFonts w:hint="eastAsia" w:ascii="仿宋" w:hAnsi="仿宋" w:eastAsia="仿宋"/>
          <w:sz w:val="32"/>
          <w:szCs w:val="32"/>
        </w:rPr>
        <w:br w:type="textWrapping"/>
      </w:r>
      <w:r>
        <w:rPr>
          <w:rFonts w:hint="eastAsia" w:ascii="仿宋" w:hAnsi="仿宋" w:eastAsia="仿宋"/>
          <w:sz w:val="32"/>
          <w:szCs w:val="32"/>
        </w:rPr>
        <w:t>　　对于毛地批租的历史遗留项目，所在区人民政府按照尊重历史、实事求是的原则拟定处置方案，市自然资源和规划、市住房保障房管等部门按照处置方案配合办理相关手续。</w:t>
      </w:r>
    </w:p>
    <w:p>
      <w:pPr>
        <w:spacing w:after="0" w:line="560" w:lineRule="exact"/>
        <w:ind w:firstLine="640" w:firstLineChars="200"/>
        <w:jc w:val="both"/>
        <w:rPr>
          <w:rFonts w:ascii="楷体" w:hAnsi="楷体" w:eastAsia="楷体"/>
          <w:sz w:val="32"/>
          <w:szCs w:val="32"/>
        </w:rPr>
      </w:pPr>
      <w:r>
        <w:rPr>
          <w:rFonts w:hint="eastAsia" w:ascii="楷体" w:hAnsi="楷体" w:eastAsia="楷体"/>
          <w:sz w:val="32"/>
          <w:szCs w:val="32"/>
        </w:rPr>
        <w:t>（十三）储备土地出租项目</w:t>
      </w:r>
    </w:p>
    <w:p>
      <w:pPr>
        <w:spacing w:after="0" w:line="560" w:lineRule="exact"/>
        <w:ind w:firstLine="480" w:firstLineChars="200"/>
        <w:jc w:val="both"/>
        <w:rPr>
          <w:rFonts w:ascii="楷体" w:hAnsi="楷体" w:eastAsia="楷体" w:cs="楷体"/>
          <w:bCs/>
          <w:i/>
          <w:iCs/>
          <w:sz w:val="32"/>
          <w:szCs w:val="32"/>
        </w:rPr>
      </w:pPr>
      <w:r>
        <w:rPr>
          <w:rFonts w:hint="eastAsia" w:ascii="仿宋" w:hAnsi="仿宋" w:eastAsia="仿宋"/>
          <w:sz w:val="24"/>
        </w:rPr>
        <w:t>　</w:t>
      </w:r>
      <w:r>
        <w:rPr>
          <w:rFonts w:hint="eastAsia" w:ascii="仿宋" w:hAnsi="仿宋" w:eastAsia="仿宋"/>
          <w:sz w:val="32"/>
          <w:szCs w:val="32"/>
        </w:rPr>
        <w:t>　土地储备机构可将储备土地及地上房屋出租，出租期限按照《中华人民共和国民法典》有关规定办理。房屋征收后按照规划要求保留的房屋，不动产登记至政府确定的机构。</w:t>
      </w:r>
    </w:p>
    <w:p>
      <w:pPr>
        <w:spacing w:after="0" w:line="560" w:lineRule="exact"/>
        <w:ind w:firstLine="640" w:firstLineChars="200"/>
        <w:jc w:val="both"/>
        <w:rPr>
          <w:rFonts w:ascii="仿宋" w:hAnsi="仿宋" w:eastAsia="仿宋"/>
          <w:sz w:val="32"/>
          <w:szCs w:val="32"/>
        </w:rPr>
      </w:pPr>
      <w:r>
        <w:rPr>
          <w:rFonts w:hint="eastAsia" w:ascii="仿宋" w:hAnsi="仿宋" w:eastAsia="仿宋"/>
          <w:sz w:val="32"/>
          <w:szCs w:val="32"/>
        </w:rPr>
        <w:t>本市以前制发的有关土地节约集约利用的相关规定与本细则不相一致的，按照本细则的规定执行。</w:t>
      </w:r>
    </w:p>
    <w:p>
      <w:pPr>
        <w:spacing w:after="0" w:line="560" w:lineRule="exact"/>
        <w:ind w:firstLine="640" w:firstLineChars="200"/>
        <w:jc w:val="both"/>
        <w:rPr>
          <w:rFonts w:ascii="楷体" w:hAnsi="楷体" w:eastAsia="楷体" w:cs="楷体"/>
          <w:sz w:val="32"/>
          <w:szCs w:val="32"/>
          <w:lang w:val="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4155772"/>
      <w:docPartObj>
        <w:docPartGallery w:val="AutoText"/>
      </w:docPartObj>
    </w:sdtPr>
    <w:sdtContent>
      <w:p>
        <w:pPr>
          <w:pStyle w:val="15"/>
          <w:jc w:val="center"/>
        </w:pPr>
        <w:r>
          <w:fldChar w:fldCharType="begin"/>
        </w:r>
        <w:r>
          <w:instrText xml:space="preserve">PAGE   \* MERGEFORMAT</w:instrText>
        </w:r>
        <w:r>
          <w:fldChar w:fldCharType="separate"/>
        </w:r>
        <w:r>
          <w:rPr>
            <w:lang w:val="zh-CN"/>
          </w:rPr>
          <w:t>23</w:t>
        </w:r>
        <w:r>
          <w:fldChar w:fldCharType="end"/>
        </w:r>
      </w:p>
    </w:sdtContent>
  </w:sdt>
  <w:p>
    <w:pPr>
      <w:pStyle w:val="1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A5D"/>
    <w:rsid w:val="0000190B"/>
    <w:rsid w:val="00005E73"/>
    <w:rsid w:val="00005ED4"/>
    <w:rsid w:val="0001030A"/>
    <w:rsid w:val="0001054B"/>
    <w:rsid w:val="000144BA"/>
    <w:rsid w:val="00014725"/>
    <w:rsid w:val="000203A4"/>
    <w:rsid w:val="00022814"/>
    <w:rsid w:val="000232C7"/>
    <w:rsid w:val="00024CD1"/>
    <w:rsid w:val="00024F1D"/>
    <w:rsid w:val="00031D42"/>
    <w:rsid w:val="0003348B"/>
    <w:rsid w:val="00037236"/>
    <w:rsid w:val="00043A2A"/>
    <w:rsid w:val="00051A63"/>
    <w:rsid w:val="0006326C"/>
    <w:rsid w:val="0006787B"/>
    <w:rsid w:val="00070D4F"/>
    <w:rsid w:val="00072376"/>
    <w:rsid w:val="00072EB5"/>
    <w:rsid w:val="00075E55"/>
    <w:rsid w:val="00076F97"/>
    <w:rsid w:val="000805BA"/>
    <w:rsid w:val="0008359F"/>
    <w:rsid w:val="00095431"/>
    <w:rsid w:val="00097383"/>
    <w:rsid w:val="000A0497"/>
    <w:rsid w:val="000A409E"/>
    <w:rsid w:val="000B3505"/>
    <w:rsid w:val="000B6929"/>
    <w:rsid w:val="000C780C"/>
    <w:rsid w:val="000D150F"/>
    <w:rsid w:val="000D31A7"/>
    <w:rsid w:val="000E45AA"/>
    <w:rsid w:val="000E5753"/>
    <w:rsid w:val="000F02DC"/>
    <w:rsid w:val="000F0B8F"/>
    <w:rsid w:val="000F0E23"/>
    <w:rsid w:val="000F548F"/>
    <w:rsid w:val="00104EA7"/>
    <w:rsid w:val="00105514"/>
    <w:rsid w:val="001072E7"/>
    <w:rsid w:val="0011174A"/>
    <w:rsid w:val="00111778"/>
    <w:rsid w:val="00112A2C"/>
    <w:rsid w:val="0011495F"/>
    <w:rsid w:val="0011730D"/>
    <w:rsid w:val="001242AF"/>
    <w:rsid w:val="00127E90"/>
    <w:rsid w:val="00134F6B"/>
    <w:rsid w:val="00136048"/>
    <w:rsid w:val="0013686A"/>
    <w:rsid w:val="00136EAD"/>
    <w:rsid w:val="00146071"/>
    <w:rsid w:val="00150029"/>
    <w:rsid w:val="00150360"/>
    <w:rsid w:val="00150AF7"/>
    <w:rsid w:val="0015304A"/>
    <w:rsid w:val="00160D75"/>
    <w:rsid w:val="0016591E"/>
    <w:rsid w:val="001663CB"/>
    <w:rsid w:val="001674C7"/>
    <w:rsid w:val="00170779"/>
    <w:rsid w:val="00180828"/>
    <w:rsid w:val="00191ED3"/>
    <w:rsid w:val="00194F04"/>
    <w:rsid w:val="00195F5B"/>
    <w:rsid w:val="001A4380"/>
    <w:rsid w:val="001A5568"/>
    <w:rsid w:val="001B1DFA"/>
    <w:rsid w:val="001B3761"/>
    <w:rsid w:val="001B3795"/>
    <w:rsid w:val="001B4FEA"/>
    <w:rsid w:val="001B6AEB"/>
    <w:rsid w:val="001B70BC"/>
    <w:rsid w:val="001C02B0"/>
    <w:rsid w:val="001D109A"/>
    <w:rsid w:val="001D6A06"/>
    <w:rsid w:val="001E1AF8"/>
    <w:rsid w:val="001E394C"/>
    <w:rsid w:val="001E3A07"/>
    <w:rsid w:val="001E59B5"/>
    <w:rsid w:val="001F511D"/>
    <w:rsid w:val="001F6847"/>
    <w:rsid w:val="00201309"/>
    <w:rsid w:val="00201B3D"/>
    <w:rsid w:val="0020733C"/>
    <w:rsid w:val="00207E23"/>
    <w:rsid w:val="00214246"/>
    <w:rsid w:val="00216527"/>
    <w:rsid w:val="00216AC0"/>
    <w:rsid w:val="00230C4E"/>
    <w:rsid w:val="00231D05"/>
    <w:rsid w:val="002347AF"/>
    <w:rsid w:val="0023590A"/>
    <w:rsid w:val="0023728C"/>
    <w:rsid w:val="00244672"/>
    <w:rsid w:val="00246AAA"/>
    <w:rsid w:val="00254EFF"/>
    <w:rsid w:val="002610BC"/>
    <w:rsid w:val="00264F9D"/>
    <w:rsid w:val="00270D0D"/>
    <w:rsid w:val="00273472"/>
    <w:rsid w:val="00275817"/>
    <w:rsid w:val="0027774A"/>
    <w:rsid w:val="0027785A"/>
    <w:rsid w:val="00280EA1"/>
    <w:rsid w:val="002874DE"/>
    <w:rsid w:val="00292F23"/>
    <w:rsid w:val="00296528"/>
    <w:rsid w:val="002A5141"/>
    <w:rsid w:val="002B1028"/>
    <w:rsid w:val="002B28D9"/>
    <w:rsid w:val="002B5B48"/>
    <w:rsid w:val="002D0904"/>
    <w:rsid w:val="002D235C"/>
    <w:rsid w:val="002E47A6"/>
    <w:rsid w:val="002E5A01"/>
    <w:rsid w:val="002E5BF9"/>
    <w:rsid w:val="002F1ACB"/>
    <w:rsid w:val="002F1B50"/>
    <w:rsid w:val="002F5256"/>
    <w:rsid w:val="002F79D9"/>
    <w:rsid w:val="003066BA"/>
    <w:rsid w:val="00307682"/>
    <w:rsid w:val="003137B5"/>
    <w:rsid w:val="00315A47"/>
    <w:rsid w:val="00316004"/>
    <w:rsid w:val="00316B24"/>
    <w:rsid w:val="00320666"/>
    <w:rsid w:val="0032403C"/>
    <w:rsid w:val="0032636C"/>
    <w:rsid w:val="00332B39"/>
    <w:rsid w:val="00333977"/>
    <w:rsid w:val="00334E74"/>
    <w:rsid w:val="00340B47"/>
    <w:rsid w:val="003417C7"/>
    <w:rsid w:val="003445B5"/>
    <w:rsid w:val="00346D02"/>
    <w:rsid w:val="00352401"/>
    <w:rsid w:val="00353E6E"/>
    <w:rsid w:val="00354B29"/>
    <w:rsid w:val="00354EE9"/>
    <w:rsid w:val="00357E93"/>
    <w:rsid w:val="00360CED"/>
    <w:rsid w:val="00364145"/>
    <w:rsid w:val="00370D5B"/>
    <w:rsid w:val="003776C2"/>
    <w:rsid w:val="00380FC3"/>
    <w:rsid w:val="0038309E"/>
    <w:rsid w:val="00390D28"/>
    <w:rsid w:val="00390F37"/>
    <w:rsid w:val="00393364"/>
    <w:rsid w:val="00396428"/>
    <w:rsid w:val="00396A24"/>
    <w:rsid w:val="003979B1"/>
    <w:rsid w:val="003A2A16"/>
    <w:rsid w:val="003C0C68"/>
    <w:rsid w:val="003C72EF"/>
    <w:rsid w:val="003D04FD"/>
    <w:rsid w:val="003D4991"/>
    <w:rsid w:val="003E45AA"/>
    <w:rsid w:val="003E4B8B"/>
    <w:rsid w:val="003E73A3"/>
    <w:rsid w:val="003F6FD3"/>
    <w:rsid w:val="0040244E"/>
    <w:rsid w:val="00406E00"/>
    <w:rsid w:val="00410BB0"/>
    <w:rsid w:val="00413242"/>
    <w:rsid w:val="00422078"/>
    <w:rsid w:val="00425993"/>
    <w:rsid w:val="004270CF"/>
    <w:rsid w:val="00427686"/>
    <w:rsid w:val="004324F5"/>
    <w:rsid w:val="00432971"/>
    <w:rsid w:val="00435C17"/>
    <w:rsid w:val="00442AD8"/>
    <w:rsid w:val="00444E5B"/>
    <w:rsid w:val="00445293"/>
    <w:rsid w:val="0045168C"/>
    <w:rsid w:val="0045255D"/>
    <w:rsid w:val="00452938"/>
    <w:rsid w:val="004547D2"/>
    <w:rsid w:val="0045679A"/>
    <w:rsid w:val="004571C4"/>
    <w:rsid w:val="00464327"/>
    <w:rsid w:val="00471115"/>
    <w:rsid w:val="00471700"/>
    <w:rsid w:val="00487330"/>
    <w:rsid w:val="0049205B"/>
    <w:rsid w:val="00494947"/>
    <w:rsid w:val="004A0C2A"/>
    <w:rsid w:val="004B0CAA"/>
    <w:rsid w:val="004B0FBB"/>
    <w:rsid w:val="004B4F57"/>
    <w:rsid w:val="004B6787"/>
    <w:rsid w:val="004C1DD1"/>
    <w:rsid w:val="004D26C1"/>
    <w:rsid w:val="004D4BAC"/>
    <w:rsid w:val="004D5267"/>
    <w:rsid w:val="004D6F8F"/>
    <w:rsid w:val="004E1AAE"/>
    <w:rsid w:val="004E2857"/>
    <w:rsid w:val="004E5AA5"/>
    <w:rsid w:val="004F2DB7"/>
    <w:rsid w:val="004F5F1F"/>
    <w:rsid w:val="004F6B8C"/>
    <w:rsid w:val="004F7CB0"/>
    <w:rsid w:val="00500B69"/>
    <w:rsid w:val="005130AC"/>
    <w:rsid w:val="00515C4A"/>
    <w:rsid w:val="005219FD"/>
    <w:rsid w:val="00522E2D"/>
    <w:rsid w:val="00524476"/>
    <w:rsid w:val="00530E89"/>
    <w:rsid w:val="00531B4F"/>
    <w:rsid w:val="00532837"/>
    <w:rsid w:val="00544171"/>
    <w:rsid w:val="0054541D"/>
    <w:rsid w:val="005558B1"/>
    <w:rsid w:val="00556C3E"/>
    <w:rsid w:val="005631C2"/>
    <w:rsid w:val="00567DF0"/>
    <w:rsid w:val="00574168"/>
    <w:rsid w:val="00577D1C"/>
    <w:rsid w:val="00581223"/>
    <w:rsid w:val="00584A4E"/>
    <w:rsid w:val="00592FF0"/>
    <w:rsid w:val="00596C7C"/>
    <w:rsid w:val="005A4730"/>
    <w:rsid w:val="005B3460"/>
    <w:rsid w:val="005B4ED7"/>
    <w:rsid w:val="005C6640"/>
    <w:rsid w:val="005C6986"/>
    <w:rsid w:val="005D4AE6"/>
    <w:rsid w:val="005D4D1F"/>
    <w:rsid w:val="005D63EC"/>
    <w:rsid w:val="005D7D52"/>
    <w:rsid w:val="005E08D3"/>
    <w:rsid w:val="005F1EAE"/>
    <w:rsid w:val="005F3723"/>
    <w:rsid w:val="005F4047"/>
    <w:rsid w:val="005F5AE2"/>
    <w:rsid w:val="006018C6"/>
    <w:rsid w:val="006114CB"/>
    <w:rsid w:val="00612594"/>
    <w:rsid w:val="00612C8F"/>
    <w:rsid w:val="0061706A"/>
    <w:rsid w:val="0062645F"/>
    <w:rsid w:val="00633703"/>
    <w:rsid w:val="006347F3"/>
    <w:rsid w:val="00644B71"/>
    <w:rsid w:val="00644B85"/>
    <w:rsid w:val="0064714B"/>
    <w:rsid w:val="006501C6"/>
    <w:rsid w:val="00653A5E"/>
    <w:rsid w:val="00654175"/>
    <w:rsid w:val="00657503"/>
    <w:rsid w:val="00660B77"/>
    <w:rsid w:val="00664080"/>
    <w:rsid w:val="00667AF2"/>
    <w:rsid w:val="00680BD7"/>
    <w:rsid w:val="00681D4A"/>
    <w:rsid w:val="006829F5"/>
    <w:rsid w:val="00683876"/>
    <w:rsid w:val="00686D49"/>
    <w:rsid w:val="00697626"/>
    <w:rsid w:val="006A0CCE"/>
    <w:rsid w:val="006A19E1"/>
    <w:rsid w:val="006B6D57"/>
    <w:rsid w:val="006C2118"/>
    <w:rsid w:val="006C34EE"/>
    <w:rsid w:val="006C4B4B"/>
    <w:rsid w:val="006D039E"/>
    <w:rsid w:val="007061B7"/>
    <w:rsid w:val="00713330"/>
    <w:rsid w:val="00721B99"/>
    <w:rsid w:val="007273D8"/>
    <w:rsid w:val="00732D97"/>
    <w:rsid w:val="007337CD"/>
    <w:rsid w:val="00735A5D"/>
    <w:rsid w:val="00736B91"/>
    <w:rsid w:val="0074022B"/>
    <w:rsid w:val="00747457"/>
    <w:rsid w:val="00750CD9"/>
    <w:rsid w:val="00756532"/>
    <w:rsid w:val="00760747"/>
    <w:rsid w:val="00763698"/>
    <w:rsid w:val="00764BE8"/>
    <w:rsid w:val="0076733A"/>
    <w:rsid w:val="0077051F"/>
    <w:rsid w:val="0077165E"/>
    <w:rsid w:val="00774426"/>
    <w:rsid w:val="00781EF7"/>
    <w:rsid w:val="007834F1"/>
    <w:rsid w:val="00783E63"/>
    <w:rsid w:val="00786677"/>
    <w:rsid w:val="00792465"/>
    <w:rsid w:val="00793009"/>
    <w:rsid w:val="00793F89"/>
    <w:rsid w:val="007A151B"/>
    <w:rsid w:val="007A2CEC"/>
    <w:rsid w:val="007A6D65"/>
    <w:rsid w:val="007B3013"/>
    <w:rsid w:val="007B74A5"/>
    <w:rsid w:val="007C125C"/>
    <w:rsid w:val="007C5526"/>
    <w:rsid w:val="007C5861"/>
    <w:rsid w:val="007C5D0A"/>
    <w:rsid w:val="007C6CC9"/>
    <w:rsid w:val="007C757B"/>
    <w:rsid w:val="007D34C3"/>
    <w:rsid w:val="007D535E"/>
    <w:rsid w:val="007E1A4E"/>
    <w:rsid w:val="007F356A"/>
    <w:rsid w:val="007F35A2"/>
    <w:rsid w:val="007F3C1E"/>
    <w:rsid w:val="007F7496"/>
    <w:rsid w:val="0080159B"/>
    <w:rsid w:val="00801A79"/>
    <w:rsid w:val="0080565F"/>
    <w:rsid w:val="00806B93"/>
    <w:rsid w:val="00810B65"/>
    <w:rsid w:val="00813775"/>
    <w:rsid w:val="00813FA7"/>
    <w:rsid w:val="00822458"/>
    <w:rsid w:val="008242A2"/>
    <w:rsid w:val="00827921"/>
    <w:rsid w:val="0083569C"/>
    <w:rsid w:val="008506B1"/>
    <w:rsid w:val="00852DD0"/>
    <w:rsid w:val="0085541C"/>
    <w:rsid w:val="00856A94"/>
    <w:rsid w:val="00861264"/>
    <w:rsid w:val="00861E1D"/>
    <w:rsid w:val="0086490F"/>
    <w:rsid w:val="00867A60"/>
    <w:rsid w:val="008768CC"/>
    <w:rsid w:val="00883C21"/>
    <w:rsid w:val="008874E2"/>
    <w:rsid w:val="00894D5E"/>
    <w:rsid w:val="0089735B"/>
    <w:rsid w:val="008B3702"/>
    <w:rsid w:val="008B44BC"/>
    <w:rsid w:val="008B5385"/>
    <w:rsid w:val="008B5679"/>
    <w:rsid w:val="008B579B"/>
    <w:rsid w:val="008C0351"/>
    <w:rsid w:val="008C0DBA"/>
    <w:rsid w:val="008C24C8"/>
    <w:rsid w:val="008C2CB7"/>
    <w:rsid w:val="008E1B1A"/>
    <w:rsid w:val="008E429F"/>
    <w:rsid w:val="008E73E5"/>
    <w:rsid w:val="008E776F"/>
    <w:rsid w:val="008F11F6"/>
    <w:rsid w:val="008F3540"/>
    <w:rsid w:val="008F3EC6"/>
    <w:rsid w:val="00900595"/>
    <w:rsid w:val="00905A1F"/>
    <w:rsid w:val="00905B22"/>
    <w:rsid w:val="00906883"/>
    <w:rsid w:val="00913548"/>
    <w:rsid w:val="00924D7B"/>
    <w:rsid w:val="0092546E"/>
    <w:rsid w:val="00931D8E"/>
    <w:rsid w:val="00933839"/>
    <w:rsid w:val="00934D5B"/>
    <w:rsid w:val="00935896"/>
    <w:rsid w:val="00935F54"/>
    <w:rsid w:val="00936CAE"/>
    <w:rsid w:val="00940485"/>
    <w:rsid w:val="009477E2"/>
    <w:rsid w:val="00951479"/>
    <w:rsid w:val="009563C6"/>
    <w:rsid w:val="009634B5"/>
    <w:rsid w:val="00963CD0"/>
    <w:rsid w:val="0097078C"/>
    <w:rsid w:val="009755BA"/>
    <w:rsid w:val="009779F2"/>
    <w:rsid w:val="009820A3"/>
    <w:rsid w:val="009848A6"/>
    <w:rsid w:val="00985120"/>
    <w:rsid w:val="00997F09"/>
    <w:rsid w:val="009A0132"/>
    <w:rsid w:val="009A0260"/>
    <w:rsid w:val="009A31E9"/>
    <w:rsid w:val="009A49D6"/>
    <w:rsid w:val="009B03B3"/>
    <w:rsid w:val="009B212D"/>
    <w:rsid w:val="009B30ED"/>
    <w:rsid w:val="009B3102"/>
    <w:rsid w:val="009B4008"/>
    <w:rsid w:val="009C721A"/>
    <w:rsid w:val="009D6C3A"/>
    <w:rsid w:val="009E1FDB"/>
    <w:rsid w:val="009F0D90"/>
    <w:rsid w:val="00A007B9"/>
    <w:rsid w:val="00A065AE"/>
    <w:rsid w:val="00A06D60"/>
    <w:rsid w:val="00A07C1F"/>
    <w:rsid w:val="00A2270D"/>
    <w:rsid w:val="00A237C2"/>
    <w:rsid w:val="00A24056"/>
    <w:rsid w:val="00A315C2"/>
    <w:rsid w:val="00A36A92"/>
    <w:rsid w:val="00A4396B"/>
    <w:rsid w:val="00A46A9E"/>
    <w:rsid w:val="00A52F23"/>
    <w:rsid w:val="00A619F4"/>
    <w:rsid w:val="00A638B0"/>
    <w:rsid w:val="00A6692A"/>
    <w:rsid w:val="00A81D40"/>
    <w:rsid w:val="00A91EAD"/>
    <w:rsid w:val="00A94C05"/>
    <w:rsid w:val="00A9774E"/>
    <w:rsid w:val="00AA122A"/>
    <w:rsid w:val="00AA5AB6"/>
    <w:rsid w:val="00AA65F6"/>
    <w:rsid w:val="00AA6DC9"/>
    <w:rsid w:val="00AB366F"/>
    <w:rsid w:val="00AB7BA2"/>
    <w:rsid w:val="00AC12FC"/>
    <w:rsid w:val="00AC2C3A"/>
    <w:rsid w:val="00AC76D2"/>
    <w:rsid w:val="00AD11B1"/>
    <w:rsid w:val="00AD78B8"/>
    <w:rsid w:val="00AE1FBC"/>
    <w:rsid w:val="00AE5C99"/>
    <w:rsid w:val="00AF09DE"/>
    <w:rsid w:val="00AF5399"/>
    <w:rsid w:val="00B017E1"/>
    <w:rsid w:val="00B018A4"/>
    <w:rsid w:val="00B01DA5"/>
    <w:rsid w:val="00B030A2"/>
    <w:rsid w:val="00B175EB"/>
    <w:rsid w:val="00B178E7"/>
    <w:rsid w:val="00B21370"/>
    <w:rsid w:val="00B22B3D"/>
    <w:rsid w:val="00B22EEE"/>
    <w:rsid w:val="00B27872"/>
    <w:rsid w:val="00B303BD"/>
    <w:rsid w:val="00B3234D"/>
    <w:rsid w:val="00B34980"/>
    <w:rsid w:val="00B3736B"/>
    <w:rsid w:val="00B37EC5"/>
    <w:rsid w:val="00B44E96"/>
    <w:rsid w:val="00B46A11"/>
    <w:rsid w:val="00B5475B"/>
    <w:rsid w:val="00B57D1D"/>
    <w:rsid w:val="00B75F50"/>
    <w:rsid w:val="00B773C3"/>
    <w:rsid w:val="00B8087C"/>
    <w:rsid w:val="00B848BE"/>
    <w:rsid w:val="00B869C8"/>
    <w:rsid w:val="00B91AF2"/>
    <w:rsid w:val="00B96E27"/>
    <w:rsid w:val="00B97FD9"/>
    <w:rsid w:val="00BA0D2F"/>
    <w:rsid w:val="00BA60AB"/>
    <w:rsid w:val="00BA633E"/>
    <w:rsid w:val="00BB131B"/>
    <w:rsid w:val="00BC034B"/>
    <w:rsid w:val="00BC23B9"/>
    <w:rsid w:val="00BC23EC"/>
    <w:rsid w:val="00BC7D7E"/>
    <w:rsid w:val="00BD071B"/>
    <w:rsid w:val="00BD3AD0"/>
    <w:rsid w:val="00BD7E9E"/>
    <w:rsid w:val="00BE01B4"/>
    <w:rsid w:val="00BE301A"/>
    <w:rsid w:val="00BE7FCF"/>
    <w:rsid w:val="00BF0379"/>
    <w:rsid w:val="00BF26C4"/>
    <w:rsid w:val="00BF2B8E"/>
    <w:rsid w:val="00BF61F7"/>
    <w:rsid w:val="00BF65E0"/>
    <w:rsid w:val="00BF67AC"/>
    <w:rsid w:val="00C00DBA"/>
    <w:rsid w:val="00C020B1"/>
    <w:rsid w:val="00C04870"/>
    <w:rsid w:val="00C07364"/>
    <w:rsid w:val="00C10CEA"/>
    <w:rsid w:val="00C129B4"/>
    <w:rsid w:val="00C135E2"/>
    <w:rsid w:val="00C36140"/>
    <w:rsid w:val="00C45DD9"/>
    <w:rsid w:val="00C47057"/>
    <w:rsid w:val="00C50CC1"/>
    <w:rsid w:val="00C516FB"/>
    <w:rsid w:val="00C5339A"/>
    <w:rsid w:val="00C53B5B"/>
    <w:rsid w:val="00C70558"/>
    <w:rsid w:val="00C70868"/>
    <w:rsid w:val="00C71B8C"/>
    <w:rsid w:val="00C73429"/>
    <w:rsid w:val="00C76DEB"/>
    <w:rsid w:val="00C82DCD"/>
    <w:rsid w:val="00C83E58"/>
    <w:rsid w:val="00C9063D"/>
    <w:rsid w:val="00C95893"/>
    <w:rsid w:val="00CA1CF3"/>
    <w:rsid w:val="00CA36D2"/>
    <w:rsid w:val="00CA390A"/>
    <w:rsid w:val="00CA4C6C"/>
    <w:rsid w:val="00CA5ADB"/>
    <w:rsid w:val="00CA7032"/>
    <w:rsid w:val="00CA7871"/>
    <w:rsid w:val="00CA7910"/>
    <w:rsid w:val="00CA7E06"/>
    <w:rsid w:val="00CB73EA"/>
    <w:rsid w:val="00CD1FC1"/>
    <w:rsid w:val="00CD6BD9"/>
    <w:rsid w:val="00CE56EE"/>
    <w:rsid w:val="00CE680C"/>
    <w:rsid w:val="00CF0C15"/>
    <w:rsid w:val="00CF577F"/>
    <w:rsid w:val="00CF7183"/>
    <w:rsid w:val="00D013FD"/>
    <w:rsid w:val="00D11064"/>
    <w:rsid w:val="00D24204"/>
    <w:rsid w:val="00D24A00"/>
    <w:rsid w:val="00D415C9"/>
    <w:rsid w:val="00D4225E"/>
    <w:rsid w:val="00D43DAB"/>
    <w:rsid w:val="00D475CD"/>
    <w:rsid w:val="00D51A9A"/>
    <w:rsid w:val="00D52925"/>
    <w:rsid w:val="00D53B1F"/>
    <w:rsid w:val="00D54C0E"/>
    <w:rsid w:val="00D56D5D"/>
    <w:rsid w:val="00D726AE"/>
    <w:rsid w:val="00D85346"/>
    <w:rsid w:val="00D87BCD"/>
    <w:rsid w:val="00DA0E0D"/>
    <w:rsid w:val="00DA1B75"/>
    <w:rsid w:val="00DC0632"/>
    <w:rsid w:val="00DC2801"/>
    <w:rsid w:val="00DC66E1"/>
    <w:rsid w:val="00DC6F2E"/>
    <w:rsid w:val="00DD29B5"/>
    <w:rsid w:val="00DD2A7C"/>
    <w:rsid w:val="00DD34DE"/>
    <w:rsid w:val="00DD3FB5"/>
    <w:rsid w:val="00DD411D"/>
    <w:rsid w:val="00DD560E"/>
    <w:rsid w:val="00DD647A"/>
    <w:rsid w:val="00DD782D"/>
    <w:rsid w:val="00DF49FB"/>
    <w:rsid w:val="00DF6C71"/>
    <w:rsid w:val="00E0061F"/>
    <w:rsid w:val="00E06034"/>
    <w:rsid w:val="00E069FE"/>
    <w:rsid w:val="00E13D23"/>
    <w:rsid w:val="00E205B8"/>
    <w:rsid w:val="00E20A81"/>
    <w:rsid w:val="00E225AD"/>
    <w:rsid w:val="00E25DFC"/>
    <w:rsid w:val="00E34377"/>
    <w:rsid w:val="00E37CD5"/>
    <w:rsid w:val="00E41D8A"/>
    <w:rsid w:val="00E443FB"/>
    <w:rsid w:val="00E518CD"/>
    <w:rsid w:val="00E51C76"/>
    <w:rsid w:val="00E65717"/>
    <w:rsid w:val="00E65A51"/>
    <w:rsid w:val="00E7292B"/>
    <w:rsid w:val="00E764AC"/>
    <w:rsid w:val="00E804C8"/>
    <w:rsid w:val="00E81633"/>
    <w:rsid w:val="00E82FD8"/>
    <w:rsid w:val="00E86F03"/>
    <w:rsid w:val="00E943CC"/>
    <w:rsid w:val="00E95D54"/>
    <w:rsid w:val="00EA075A"/>
    <w:rsid w:val="00EA2D25"/>
    <w:rsid w:val="00EA6DEB"/>
    <w:rsid w:val="00EB274F"/>
    <w:rsid w:val="00EB2EDE"/>
    <w:rsid w:val="00EB4A8B"/>
    <w:rsid w:val="00EC2CDF"/>
    <w:rsid w:val="00ED2D14"/>
    <w:rsid w:val="00ED3600"/>
    <w:rsid w:val="00ED3A03"/>
    <w:rsid w:val="00ED3C02"/>
    <w:rsid w:val="00ED5239"/>
    <w:rsid w:val="00ED6CF2"/>
    <w:rsid w:val="00EF0AB6"/>
    <w:rsid w:val="00EF16D4"/>
    <w:rsid w:val="00EF2CEC"/>
    <w:rsid w:val="00EF55DE"/>
    <w:rsid w:val="00F10DA9"/>
    <w:rsid w:val="00F13CC7"/>
    <w:rsid w:val="00F140B1"/>
    <w:rsid w:val="00F17C20"/>
    <w:rsid w:val="00F21DC4"/>
    <w:rsid w:val="00F26CBC"/>
    <w:rsid w:val="00F3006C"/>
    <w:rsid w:val="00F334A9"/>
    <w:rsid w:val="00F3389B"/>
    <w:rsid w:val="00F41A85"/>
    <w:rsid w:val="00F43EC6"/>
    <w:rsid w:val="00F500FF"/>
    <w:rsid w:val="00F5047B"/>
    <w:rsid w:val="00F5267D"/>
    <w:rsid w:val="00F52C65"/>
    <w:rsid w:val="00F60307"/>
    <w:rsid w:val="00F607F1"/>
    <w:rsid w:val="00F7472D"/>
    <w:rsid w:val="00F76911"/>
    <w:rsid w:val="00F83FF9"/>
    <w:rsid w:val="00F90D32"/>
    <w:rsid w:val="00F95BF5"/>
    <w:rsid w:val="00FA59AC"/>
    <w:rsid w:val="00FA677F"/>
    <w:rsid w:val="00FA7111"/>
    <w:rsid w:val="00FA7EEA"/>
    <w:rsid w:val="00FB3B02"/>
    <w:rsid w:val="00FB3DA1"/>
    <w:rsid w:val="00FC2353"/>
    <w:rsid w:val="00FC3610"/>
    <w:rsid w:val="00FD2660"/>
    <w:rsid w:val="00FD4A69"/>
    <w:rsid w:val="00FD73FE"/>
    <w:rsid w:val="00FE0109"/>
    <w:rsid w:val="00FE2783"/>
    <w:rsid w:val="00FE2B68"/>
    <w:rsid w:val="00FE7A9A"/>
    <w:rsid w:val="00FF2DCF"/>
    <w:rsid w:val="00FF65E2"/>
    <w:rsid w:val="782B0B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23"/>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4"/>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5"/>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6"/>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7"/>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8"/>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9"/>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0"/>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1"/>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1">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45"/>
    <w:unhideWhenUsed/>
    <w:qFormat/>
    <w:uiPriority w:val="99"/>
  </w:style>
  <w:style w:type="paragraph" w:styleId="12">
    <w:name w:val="Body Text"/>
    <w:basedOn w:val="1"/>
    <w:next w:val="13"/>
    <w:link w:val="44"/>
    <w:qFormat/>
    <w:uiPriority w:val="99"/>
    <w:pPr>
      <w:spacing w:after="120" w:line="240" w:lineRule="auto"/>
      <w:jc w:val="both"/>
    </w:pPr>
    <w:rPr>
      <w:rFonts w:ascii="Times New Roman" w:hAnsi="Times New Roman" w:eastAsia="宋体" w:cs="Times New Roman"/>
      <w:sz w:val="21"/>
      <w14:ligatures w14:val="none"/>
    </w:rPr>
  </w:style>
  <w:style w:type="paragraph" w:styleId="13">
    <w:name w:val="Title"/>
    <w:basedOn w:val="1"/>
    <w:next w:val="1"/>
    <w:link w:val="32"/>
    <w:qFormat/>
    <w:uiPriority w:val="0"/>
    <w:pPr>
      <w:spacing w:after="80" w:line="240" w:lineRule="auto"/>
      <w:contextualSpacing/>
      <w:jc w:val="center"/>
    </w:pPr>
    <w:rPr>
      <w:rFonts w:asciiTheme="majorHAnsi" w:hAnsiTheme="majorHAnsi" w:eastAsiaTheme="majorEastAsia" w:cstheme="majorBidi"/>
      <w:spacing w:val="-10"/>
      <w:kern w:val="28"/>
      <w:sz w:val="56"/>
      <w:szCs w:val="56"/>
    </w:rPr>
  </w:style>
  <w:style w:type="paragraph" w:styleId="14">
    <w:name w:val="Balloon Text"/>
    <w:basedOn w:val="1"/>
    <w:link w:val="47"/>
    <w:semiHidden/>
    <w:unhideWhenUsed/>
    <w:qFormat/>
    <w:uiPriority w:val="99"/>
    <w:pPr>
      <w:spacing w:after="0" w:line="240" w:lineRule="auto"/>
    </w:pPr>
    <w:rPr>
      <w:sz w:val="18"/>
      <w:szCs w:val="18"/>
    </w:rPr>
  </w:style>
  <w:style w:type="paragraph" w:styleId="15">
    <w:name w:val="footer"/>
    <w:basedOn w:val="1"/>
    <w:link w:val="43"/>
    <w:unhideWhenUsed/>
    <w:qFormat/>
    <w:uiPriority w:val="99"/>
    <w:pPr>
      <w:tabs>
        <w:tab w:val="center" w:pos="4153"/>
        <w:tab w:val="right" w:pos="8306"/>
      </w:tabs>
      <w:snapToGrid w:val="0"/>
      <w:spacing w:line="240" w:lineRule="auto"/>
    </w:pPr>
    <w:rPr>
      <w:sz w:val="18"/>
      <w:szCs w:val="18"/>
    </w:rPr>
  </w:style>
  <w:style w:type="paragraph" w:styleId="16">
    <w:name w:val="header"/>
    <w:basedOn w:val="1"/>
    <w:link w:val="42"/>
    <w:unhideWhenUsed/>
    <w:qFormat/>
    <w:uiPriority w:val="99"/>
    <w:pPr>
      <w:tabs>
        <w:tab w:val="center" w:pos="4153"/>
        <w:tab w:val="right" w:pos="8306"/>
      </w:tabs>
      <w:snapToGrid w:val="0"/>
      <w:spacing w:line="240" w:lineRule="auto"/>
      <w:jc w:val="center"/>
    </w:pPr>
    <w:rPr>
      <w:sz w:val="18"/>
      <w:szCs w:val="18"/>
    </w:rPr>
  </w:style>
  <w:style w:type="paragraph" w:styleId="17">
    <w:name w:val="Subtitle"/>
    <w:basedOn w:val="1"/>
    <w:next w:val="1"/>
    <w:link w:val="33"/>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8">
    <w:name w:val="Normal (Web)"/>
    <w:basedOn w:val="1"/>
    <w:semiHidden/>
    <w:unhideWhenUsed/>
    <w:qFormat/>
    <w:uiPriority w:val="99"/>
    <w:rPr>
      <w:rFonts w:ascii="Times New Roman" w:hAnsi="Times New Roman" w:cs="Times New Roman"/>
      <w:sz w:val="24"/>
    </w:rPr>
  </w:style>
  <w:style w:type="paragraph" w:styleId="19">
    <w:name w:val="annotation subject"/>
    <w:basedOn w:val="11"/>
    <w:next w:val="11"/>
    <w:link w:val="46"/>
    <w:semiHidden/>
    <w:unhideWhenUsed/>
    <w:qFormat/>
    <w:uiPriority w:val="99"/>
    <w:rPr>
      <w:b/>
      <w:bCs/>
    </w:rPr>
  </w:style>
  <w:style w:type="character" w:styleId="22">
    <w:name w:val="annotation reference"/>
    <w:basedOn w:val="21"/>
    <w:semiHidden/>
    <w:unhideWhenUsed/>
    <w:qFormat/>
    <w:uiPriority w:val="99"/>
    <w:rPr>
      <w:sz w:val="21"/>
      <w:szCs w:val="21"/>
    </w:rPr>
  </w:style>
  <w:style w:type="character" w:customStyle="1" w:styleId="23">
    <w:name w:val="标题 1 字符"/>
    <w:basedOn w:val="21"/>
    <w:link w:val="2"/>
    <w:uiPriority w:val="9"/>
    <w:rPr>
      <w:rFonts w:asciiTheme="majorHAnsi" w:hAnsiTheme="majorHAnsi" w:eastAsiaTheme="majorEastAsia" w:cstheme="majorBidi"/>
      <w:color w:val="104862" w:themeColor="accent1" w:themeShade="BF"/>
      <w:sz w:val="48"/>
      <w:szCs w:val="48"/>
    </w:rPr>
  </w:style>
  <w:style w:type="character" w:customStyle="1" w:styleId="24">
    <w:name w:val="标题 2 字符"/>
    <w:basedOn w:val="21"/>
    <w:link w:val="3"/>
    <w:uiPriority w:val="9"/>
    <w:rPr>
      <w:rFonts w:asciiTheme="majorHAnsi" w:hAnsiTheme="majorHAnsi" w:eastAsiaTheme="majorEastAsia" w:cstheme="majorBidi"/>
      <w:color w:val="104862" w:themeColor="accent1" w:themeShade="BF"/>
      <w:sz w:val="40"/>
      <w:szCs w:val="40"/>
    </w:rPr>
  </w:style>
  <w:style w:type="character" w:customStyle="1" w:styleId="25">
    <w:name w:val="标题 3 字符"/>
    <w:basedOn w:val="21"/>
    <w:link w:val="4"/>
    <w:uiPriority w:val="9"/>
    <w:rPr>
      <w:rFonts w:asciiTheme="majorHAnsi" w:hAnsiTheme="majorHAnsi" w:eastAsiaTheme="majorEastAsia" w:cstheme="majorBidi"/>
      <w:color w:val="104862" w:themeColor="accent1" w:themeShade="BF"/>
      <w:sz w:val="32"/>
      <w:szCs w:val="32"/>
    </w:rPr>
  </w:style>
  <w:style w:type="character" w:customStyle="1" w:styleId="26">
    <w:name w:val="标题 4 字符"/>
    <w:basedOn w:val="21"/>
    <w:link w:val="5"/>
    <w:semiHidden/>
    <w:uiPriority w:val="9"/>
    <w:rPr>
      <w:rFonts w:cstheme="majorBidi"/>
      <w:color w:val="104862" w:themeColor="accent1" w:themeShade="BF"/>
      <w:sz w:val="28"/>
      <w:szCs w:val="28"/>
    </w:rPr>
  </w:style>
  <w:style w:type="character" w:customStyle="1" w:styleId="27">
    <w:name w:val="标题 5 字符"/>
    <w:basedOn w:val="21"/>
    <w:link w:val="6"/>
    <w:semiHidden/>
    <w:uiPriority w:val="9"/>
    <w:rPr>
      <w:rFonts w:cstheme="majorBidi"/>
      <w:color w:val="104862" w:themeColor="accent1" w:themeShade="BF"/>
      <w:sz w:val="24"/>
    </w:rPr>
  </w:style>
  <w:style w:type="character" w:customStyle="1" w:styleId="28">
    <w:name w:val="标题 6 字符"/>
    <w:basedOn w:val="21"/>
    <w:link w:val="7"/>
    <w:semiHidden/>
    <w:uiPriority w:val="9"/>
    <w:rPr>
      <w:rFonts w:cstheme="majorBidi"/>
      <w:b/>
      <w:bCs/>
      <w:color w:val="104862" w:themeColor="accent1" w:themeShade="BF"/>
    </w:rPr>
  </w:style>
  <w:style w:type="character" w:customStyle="1" w:styleId="29">
    <w:name w:val="标题 7 字符"/>
    <w:basedOn w:val="21"/>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0">
    <w:name w:val="标题 8 字符"/>
    <w:basedOn w:val="21"/>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1">
    <w:name w:val="标题 9 字符"/>
    <w:basedOn w:val="21"/>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2">
    <w:name w:val="标题 字符"/>
    <w:basedOn w:val="21"/>
    <w:link w:val="13"/>
    <w:uiPriority w:val="10"/>
    <w:rPr>
      <w:rFonts w:asciiTheme="majorHAnsi" w:hAnsiTheme="majorHAnsi" w:eastAsiaTheme="majorEastAsia" w:cstheme="majorBidi"/>
      <w:spacing w:val="-10"/>
      <w:kern w:val="28"/>
      <w:sz w:val="56"/>
      <w:szCs w:val="56"/>
    </w:rPr>
  </w:style>
  <w:style w:type="character" w:customStyle="1" w:styleId="33">
    <w:name w:val="副标题 字符"/>
    <w:basedOn w:val="21"/>
    <w:link w:val="17"/>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4">
    <w:name w:val="Quote"/>
    <w:basedOn w:val="1"/>
    <w:next w:val="1"/>
    <w:link w:val="35"/>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5">
    <w:name w:val="引用 字符"/>
    <w:basedOn w:val="21"/>
    <w:link w:val="34"/>
    <w:uiPriority w:val="29"/>
    <w:rPr>
      <w:i/>
      <w:iCs/>
      <w:color w:val="404040" w:themeColor="text1" w:themeTint="BF"/>
      <w14:textFill>
        <w14:solidFill>
          <w14:schemeClr w14:val="tx1">
            <w14:lumMod w14:val="75000"/>
            <w14:lumOff w14:val="25000"/>
          </w14:schemeClr>
        </w14:solidFill>
      </w14:textFill>
    </w:rPr>
  </w:style>
  <w:style w:type="paragraph" w:styleId="36">
    <w:name w:val="List Paragraph"/>
    <w:basedOn w:val="1"/>
    <w:qFormat/>
    <w:uiPriority w:val="34"/>
    <w:pPr>
      <w:ind w:left="720"/>
      <w:contextualSpacing/>
    </w:pPr>
  </w:style>
  <w:style w:type="character" w:customStyle="1" w:styleId="37">
    <w:name w:val="Intense Emphasis"/>
    <w:basedOn w:val="21"/>
    <w:qFormat/>
    <w:uiPriority w:val="21"/>
    <w:rPr>
      <w:i/>
      <w:iCs/>
      <w:color w:val="104862" w:themeColor="accent1" w:themeShade="BF"/>
    </w:rPr>
  </w:style>
  <w:style w:type="paragraph" w:styleId="38">
    <w:name w:val="Intense Quote"/>
    <w:basedOn w:val="1"/>
    <w:next w:val="1"/>
    <w:link w:val="39"/>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9">
    <w:name w:val="明显引用 字符"/>
    <w:basedOn w:val="21"/>
    <w:link w:val="38"/>
    <w:qFormat/>
    <w:uiPriority w:val="30"/>
    <w:rPr>
      <w:i/>
      <w:iCs/>
      <w:color w:val="104862" w:themeColor="accent1" w:themeShade="BF"/>
    </w:rPr>
  </w:style>
  <w:style w:type="character" w:customStyle="1" w:styleId="40">
    <w:name w:val="Intense Reference"/>
    <w:basedOn w:val="21"/>
    <w:qFormat/>
    <w:uiPriority w:val="32"/>
    <w:rPr>
      <w:b/>
      <w:bCs/>
      <w:smallCaps/>
      <w:color w:val="104862" w:themeColor="accent1" w:themeShade="BF"/>
      <w:spacing w:val="5"/>
    </w:rPr>
  </w:style>
  <w:style w:type="paragraph" w:customStyle="1" w:styleId="41">
    <w:name w:val="Revision"/>
    <w:hidden/>
    <w:semiHidden/>
    <w:qFormat/>
    <w:uiPriority w:val="99"/>
    <w:pPr>
      <w:spacing w:after="0" w:line="240" w:lineRule="auto"/>
    </w:pPr>
    <w:rPr>
      <w:rFonts w:asciiTheme="minorHAnsi" w:hAnsiTheme="minorHAnsi" w:eastAsiaTheme="minorEastAsia" w:cstheme="minorBidi"/>
      <w:kern w:val="2"/>
      <w:sz w:val="22"/>
      <w:szCs w:val="24"/>
      <w:lang w:val="en-US" w:eastAsia="zh-CN" w:bidi="ar-SA"/>
      <w14:ligatures w14:val="standardContextual"/>
    </w:rPr>
  </w:style>
  <w:style w:type="character" w:customStyle="1" w:styleId="42">
    <w:name w:val="页眉 字符"/>
    <w:basedOn w:val="21"/>
    <w:link w:val="16"/>
    <w:qFormat/>
    <w:uiPriority w:val="99"/>
    <w:rPr>
      <w:sz w:val="18"/>
      <w:szCs w:val="18"/>
    </w:rPr>
  </w:style>
  <w:style w:type="character" w:customStyle="1" w:styleId="43">
    <w:name w:val="页脚 字符"/>
    <w:basedOn w:val="21"/>
    <w:link w:val="15"/>
    <w:qFormat/>
    <w:uiPriority w:val="99"/>
    <w:rPr>
      <w:sz w:val="18"/>
      <w:szCs w:val="18"/>
    </w:rPr>
  </w:style>
  <w:style w:type="character" w:customStyle="1" w:styleId="44">
    <w:name w:val="正文文本 字符"/>
    <w:basedOn w:val="21"/>
    <w:link w:val="12"/>
    <w:qFormat/>
    <w:uiPriority w:val="99"/>
    <w:rPr>
      <w:rFonts w:ascii="Times New Roman" w:hAnsi="Times New Roman" w:eastAsia="宋体" w:cs="Times New Roman"/>
      <w:sz w:val="21"/>
      <w14:ligatures w14:val="none"/>
    </w:rPr>
  </w:style>
  <w:style w:type="character" w:customStyle="1" w:styleId="45">
    <w:name w:val="批注文字 字符"/>
    <w:basedOn w:val="21"/>
    <w:link w:val="11"/>
    <w:qFormat/>
    <w:uiPriority w:val="99"/>
  </w:style>
  <w:style w:type="character" w:customStyle="1" w:styleId="46">
    <w:name w:val="批注主题 字符"/>
    <w:basedOn w:val="45"/>
    <w:link w:val="19"/>
    <w:semiHidden/>
    <w:qFormat/>
    <w:uiPriority w:val="99"/>
    <w:rPr>
      <w:b/>
      <w:bCs/>
    </w:rPr>
  </w:style>
  <w:style w:type="character" w:customStyle="1" w:styleId="47">
    <w:name w:val="批注框文本 字符"/>
    <w:basedOn w:val="21"/>
    <w:link w:val="14"/>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20478B-7AA6-4591-A56D-03ECD5226321}">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1915</Words>
  <Characters>10917</Characters>
  <Lines>90</Lines>
  <Paragraphs>25</Paragraphs>
  <TotalTime>115</TotalTime>
  <ScaleCrop>false</ScaleCrop>
  <LinksUpToDate>false</LinksUpToDate>
  <CharactersWithSpaces>12807</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2026-02-06T07:56:00Z</dcterms:created>
  <dc:creator>李男</dc:creator>
  <cp:lastModifiedBy>Administrator</cp:lastModifiedBy>
  <cp:lastPrinted>2026-02-10T01:31:00Z</cp:lastPrinted>
  <dcterms:modified xsi:type="dcterms:W3CDTF">2026-02-11T03:29:07Z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