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hint="default" w:ascii="Times New Roman" w:hAnsi="Times New Roman" w:cs="Times New Roman" w:eastAsiaTheme="minorEastAsia"/>
          <w:b/>
          <w:color w:val="000000" w:themeColor="text1"/>
          <w:sz w:val="48"/>
          <w:szCs w:val="48"/>
          <w:highlight w:val="none"/>
          <w:lang w:val="zh-TW" w:bidi="zh-TW"/>
          <w14:textFill>
            <w14:solidFill>
              <w14:schemeClr w14:val="tx1"/>
            </w14:solidFill>
          </w14:textFill>
        </w:rPr>
      </w:pPr>
    </w:p>
    <w:p>
      <w:pPr>
        <w:snapToGrid w:val="0"/>
        <w:spacing w:line="360" w:lineRule="auto"/>
        <w:jc w:val="center"/>
        <w:rPr>
          <w:rFonts w:hint="default" w:ascii="Times New Roman" w:hAnsi="Times New Roman" w:cs="Times New Roman" w:eastAsiaTheme="minorEastAsia"/>
          <w:b/>
          <w:color w:val="000000" w:themeColor="text1"/>
          <w:sz w:val="48"/>
          <w:szCs w:val="48"/>
          <w:highlight w:val="none"/>
          <w:lang w:val="zh-TW" w:bidi="zh-TW"/>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eastAsiaTheme="minorEastAsia"/>
          <w:b/>
          <w:color w:val="000000" w:themeColor="text1"/>
          <w:sz w:val="48"/>
          <w:szCs w:val="48"/>
          <w:highlight w:val="none"/>
          <w:lang w:val="zh-TW" w:eastAsia="zh-TW" w:bidi="zh-TW"/>
          <w14:textFill>
            <w14:solidFill>
              <w14:schemeClr w14:val="tx1"/>
            </w14:solidFill>
          </w14:textFill>
        </w:rPr>
      </w:pPr>
      <w:r>
        <w:rPr>
          <w:rFonts w:hint="default" w:ascii="Times New Roman" w:hAnsi="Times New Roman" w:cs="Times New Roman" w:eastAsiaTheme="minorEastAsia"/>
          <w:b/>
          <w:color w:val="000000" w:themeColor="text1"/>
          <w:sz w:val="48"/>
          <w:szCs w:val="48"/>
          <w:highlight w:val="none"/>
          <w:lang w:val="zh-TW" w:eastAsia="zh-TW" w:bidi="zh-TW"/>
          <w14:textFill>
            <w14:solidFill>
              <w14:schemeClr w14:val="tx1"/>
            </w14:solidFill>
          </w14:textFill>
        </w:rPr>
        <w:t>武汉市预拌混凝土厂站智能化</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eastAsiaTheme="minorEastAsia"/>
          <w:b/>
          <w:color w:val="000000" w:themeColor="text1"/>
          <w:sz w:val="48"/>
          <w:szCs w:val="48"/>
          <w:highlight w:val="none"/>
          <w:lang w:val="zh-TW" w:bidi="zh-TW"/>
          <w14:textFill>
            <w14:solidFill>
              <w14:schemeClr w14:val="tx1"/>
            </w14:solidFill>
          </w14:textFill>
        </w:rPr>
      </w:pPr>
      <w:r>
        <w:rPr>
          <w:rFonts w:hint="default" w:ascii="Times New Roman" w:hAnsi="Times New Roman" w:cs="Times New Roman" w:eastAsiaTheme="minorEastAsia"/>
          <w:b/>
          <w:color w:val="000000" w:themeColor="text1"/>
          <w:sz w:val="48"/>
          <w:szCs w:val="48"/>
          <w:highlight w:val="none"/>
          <w:lang w:val="zh-TW" w:bidi="zh-TW"/>
          <w14:textFill>
            <w14:solidFill>
              <w14:schemeClr w14:val="tx1"/>
            </w14:solidFill>
          </w14:textFill>
        </w:rPr>
        <w:t>技术导则</w:t>
      </w: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_GB2312" w:hAnsi="仿宋_GB2312" w:eastAsia="仿宋_GB2312" w:cs="仿宋_GB2312"/>
          <w:color w:val="000000" w:themeColor="text1"/>
          <w:sz w:val="36"/>
          <w:szCs w:val="36"/>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6"/>
          <w:szCs w:val="36"/>
          <w:highlight w:val="none"/>
          <w14:textFill>
            <w14:solidFill>
              <w14:schemeClr w14:val="tx1"/>
            </w14:solidFill>
          </w14:textFill>
        </w:rPr>
        <w:t>武汉市自然资源和城乡建设局</w:t>
      </w: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_GB2312" w:hAnsi="仿宋_GB2312" w:eastAsia="仿宋_GB2312" w:cs="仿宋_GB2312"/>
          <w:color w:val="000000" w:themeColor="text1"/>
          <w:sz w:val="36"/>
          <w:szCs w:val="36"/>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6"/>
          <w:szCs w:val="36"/>
          <w:highlight w:val="none"/>
          <w:lang w:val="en-US" w:eastAsia="zh-CN"/>
          <w14:textFill>
            <w14:solidFill>
              <w14:schemeClr w14:val="tx1"/>
            </w14:solidFill>
          </w14:textFill>
        </w:rPr>
        <w:t>2025年5月</w:t>
      </w:r>
    </w:p>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p>
      <w:pPr>
        <w:jc w:val="center"/>
        <w:rPr>
          <w:rFonts w:hint="default" w:ascii="Times New Roman" w:hAnsi="Times New Roman" w:cs="Times New Roman" w:eastAsiaTheme="minorEastAsia"/>
          <w:color w:val="000000" w:themeColor="text1"/>
          <w:highlight w:val="none"/>
          <w14:textFill>
            <w14:solidFill>
              <w14:schemeClr w14:val="tx1"/>
            </w14:solidFill>
          </w14:textFill>
        </w:rPr>
        <w:sectPr>
          <w:headerReference r:id="rId5" w:type="default"/>
          <w:pgSz w:w="11900" w:h="16840"/>
          <w:pgMar w:top="1463" w:right="1264" w:bottom="1939" w:left="1729" w:header="1032" w:footer="850" w:gutter="0"/>
          <w:pgNumType w:fmt="decimal" w:start="1"/>
          <w:cols w:space="0" w:num="1"/>
          <w:rtlGutter w:val="0"/>
          <w:docGrid w:linePitch="360" w:charSpace="0"/>
        </w:sectPr>
      </w:pPr>
    </w:p>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bookmarkStart w:id="124" w:name="_GoBack"/>
      <w:bookmarkEnd w:id="124"/>
    </w:p>
    <w:p>
      <w:pPr>
        <w:snapToGrid w:val="0"/>
        <w:spacing w:line="360" w:lineRule="auto"/>
        <w:jc w:val="center"/>
        <w:rPr>
          <w:rFonts w:hint="default" w:ascii="Times New Roman" w:hAnsi="Times New Roman" w:eastAsia="黑体" w:cs="Times New Roman"/>
          <w:color w:val="000000" w:themeColor="text1"/>
          <w:sz w:val="28"/>
          <w:szCs w:val="28"/>
          <w:highlight w:val="none"/>
          <w14:textFill>
            <w14:solidFill>
              <w14:schemeClr w14:val="tx1"/>
            </w14:solidFill>
          </w14:textFill>
        </w:rPr>
      </w:pPr>
      <w:r>
        <w:rPr>
          <w:rFonts w:hint="default" w:ascii="Times New Roman" w:hAnsi="Times New Roman" w:eastAsia="黑体" w:cs="Times New Roman"/>
          <w:color w:val="000000" w:themeColor="text1"/>
          <w:sz w:val="28"/>
          <w:szCs w:val="28"/>
          <w:highlight w:val="none"/>
          <w14:textFill>
            <w14:solidFill>
              <w14:schemeClr w14:val="tx1"/>
            </w14:solidFill>
          </w14:textFill>
        </w:rPr>
        <w:t>前  言</w:t>
      </w:r>
    </w:p>
    <w:p>
      <w:pPr>
        <w:snapToGrid w:val="0"/>
        <w:spacing w:line="360" w:lineRule="auto"/>
        <w:ind w:firstLine="400" w:firstLineChars="200"/>
        <w:jc w:val="both"/>
        <w:rPr>
          <w:rFonts w:hint="default" w:ascii="Times New Roman" w:hAnsi="Times New Roman" w:cs="Times New Roman" w:eastAsiaTheme="minorEastAsia"/>
          <w:color w:val="000000" w:themeColor="text1"/>
          <w:sz w:val="20"/>
          <w:szCs w:val="20"/>
          <w:highlight w:val="none"/>
          <w:lang w:val="zh-TW" w:bidi="zh-TW"/>
          <w14:textFill>
            <w14:solidFill>
              <w14:schemeClr w14:val="tx1"/>
            </w14:solidFill>
          </w14:textFill>
        </w:rPr>
      </w:pPr>
      <w:r>
        <w:rPr>
          <w:rFonts w:hint="eastAsia" w:cs="Times New Roman" w:eastAsiaTheme="minorEastAsia"/>
          <w:color w:val="000000" w:themeColor="text1"/>
          <w:sz w:val="20"/>
          <w:szCs w:val="20"/>
          <w:highlight w:val="none"/>
          <w:lang w:val="en-US" w:eastAsia="zh-CN" w:bidi="zh-TW"/>
          <w14:textFill>
            <w14:solidFill>
              <w14:schemeClr w14:val="tx1"/>
            </w14:solidFill>
          </w14:textFill>
        </w:rPr>
        <w:t>为</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进一步落实湖北省住建厅</w:t>
      </w:r>
      <w:r>
        <w:rPr>
          <w:rFonts w:hint="default" w:ascii="Times New Roman" w:hAnsi="Times New Roman" w:cs="Times New Roman" w:eastAsiaTheme="minorEastAsia"/>
          <w:color w:val="000000" w:themeColor="text1"/>
          <w:sz w:val="20"/>
          <w:szCs w:val="20"/>
          <w:highlight w:val="none"/>
          <w:lang w:val="zh-TW" w:bidi="zh-TW"/>
          <w14:textFill>
            <w14:solidFill>
              <w14:schemeClr w14:val="tx1"/>
            </w14:solidFill>
          </w14:textFill>
        </w:rPr>
        <w:t>《关于推动预拌混凝土行业高质量发展的意见》（</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鄂建文</w:t>
      </w:r>
      <w:r>
        <w:rPr>
          <w:rFonts w:hint="default" w:ascii="Times New Roman" w:hAnsi="Times New Roman" w:cs="Times New Roman" w:eastAsiaTheme="minorEastAsia"/>
          <w:color w:val="000000" w:themeColor="text1"/>
          <w:sz w:val="20"/>
          <w:szCs w:val="20"/>
          <w:highlight w:val="none"/>
          <w:lang w:val="zh-TW" w:bidi="zh-TW"/>
          <w14:textFill>
            <w14:solidFill>
              <w14:schemeClr w14:val="tx1"/>
            </w14:solidFill>
          </w14:textFill>
        </w:rPr>
        <w:t>〔20</w:t>
      </w:r>
      <w:r>
        <w:rPr>
          <w:rFonts w:hint="eastAsia" w:cs="Times New Roman" w:eastAsiaTheme="minorEastAsia"/>
          <w:color w:val="000000" w:themeColor="text1"/>
          <w:sz w:val="20"/>
          <w:szCs w:val="20"/>
          <w:highlight w:val="none"/>
          <w:lang w:val="en-US" w:eastAsia="zh-CN" w:bidi="zh-TW"/>
          <w14:textFill>
            <w14:solidFill>
              <w14:schemeClr w14:val="tx1"/>
            </w14:solidFill>
          </w14:textFill>
        </w:rPr>
        <w:t>22</w:t>
      </w:r>
      <w:r>
        <w:rPr>
          <w:rFonts w:hint="default" w:ascii="Times New Roman" w:hAnsi="Times New Roman" w:cs="Times New Roman" w:eastAsiaTheme="minorEastAsia"/>
          <w:color w:val="000000" w:themeColor="text1"/>
          <w:sz w:val="20"/>
          <w:szCs w:val="20"/>
          <w:highlight w:val="none"/>
          <w:lang w:val="zh-TW" w:bidi="zh-TW"/>
          <w14:textFill>
            <w14:solidFill>
              <w14:schemeClr w14:val="tx1"/>
            </w14:solidFill>
          </w14:textFill>
        </w:rPr>
        <w:t>〕</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31</w:t>
      </w:r>
      <w:r>
        <w:rPr>
          <w:rFonts w:hint="default" w:ascii="Times New Roman" w:hAnsi="Times New Roman" w:cs="Times New Roman" w:eastAsiaTheme="minorEastAsia"/>
          <w:color w:val="000000" w:themeColor="text1"/>
          <w:sz w:val="20"/>
          <w:szCs w:val="20"/>
          <w:highlight w:val="none"/>
          <w:lang w:val="zh-TW" w:bidi="zh-TW"/>
          <w14:textFill>
            <w14:solidFill>
              <w14:schemeClr w14:val="tx1"/>
            </w14:solidFill>
          </w14:textFill>
        </w:rPr>
        <w:t>号 ）的要求，有效提升武汉市预拌混凝土行业</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智能化</w:t>
      </w:r>
      <w:r>
        <w:rPr>
          <w:rFonts w:hint="default" w:ascii="Times New Roman" w:hAnsi="Times New Roman" w:cs="Times New Roman" w:eastAsiaTheme="minorEastAsia"/>
          <w:color w:val="000000" w:themeColor="text1"/>
          <w:sz w:val="20"/>
          <w:szCs w:val="20"/>
          <w:highlight w:val="none"/>
          <w:lang w:val="zh-TW" w:bidi="zh-TW"/>
          <w14:textFill>
            <w14:solidFill>
              <w14:schemeClr w14:val="tx1"/>
            </w14:solidFill>
          </w14:textFill>
        </w:rPr>
        <w:t>生产水平，编制组经广泛调查研究，认真总结实践经验，参考有关国内外先进标准规范，参照湖北省及武汉市有关政策文件，并在广泛征求意见的基础上，编制本导则。</w:t>
      </w:r>
    </w:p>
    <w:p>
      <w:pPr>
        <w:pStyle w:val="34"/>
        <w:spacing w:line="458" w:lineRule="exact"/>
        <w:ind w:firstLine="480"/>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本导则的主要内容有：1总则、2术语、3</w:t>
      </w: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基础</w:t>
      </w:r>
      <w:r>
        <w:rPr>
          <w:rFonts w:hint="default" w:ascii="Times New Roman" w:hAnsi="Times New Roman" w:cs="Times New Roman" w:eastAsiaTheme="minorEastAsia"/>
          <w:color w:val="000000" w:themeColor="text1"/>
          <w:highlight w:val="none"/>
          <w14:textFill>
            <w14:solidFill>
              <w14:schemeClr w14:val="tx1"/>
            </w14:solidFill>
          </w14:textFill>
        </w:rPr>
        <w:t>规定、4</w:t>
      </w: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销售管理</w:t>
      </w:r>
      <w:r>
        <w:rPr>
          <w:rFonts w:hint="default" w:ascii="Times New Roman" w:hAnsi="Times New Roman" w:cs="Times New Roman" w:eastAsiaTheme="minorEastAsia"/>
          <w:color w:val="000000" w:themeColor="text1"/>
          <w:highlight w:val="none"/>
          <w14:textFill>
            <w14:solidFill>
              <w14:schemeClr w14:val="tx1"/>
            </w14:solidFill>
          </w14:textFill>
        </w:rPr>
        <w:t>、5</w:t>
      </w: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物资管理</w:t>
      </w:r>
      <w:r>
        <w:rPr>
          <w:rFonts w:hint="default" w:ascii="Times New Roman" w:hAnsi="Times New Roman" w:cs="Times New Roman" w:eastAsiaTheme="minorEastAsia"/>
          <w:color w:val="000000" w:themeColor="text1"/>
          <w:highlight w:val="none"/>
          <w14:textFill>
            <w14:solidFill>
              <w14:schemeClr w14:val="tx1"/>
            </w14:solidFill>
          </w14:textFill>
        </w:rPr>
        <w:t>、6</w:t>
      </w: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生产管理</w:t>
      </w:r>
      <w:r>
        <w:rPr>
          <w:rFonts w:hint="default" w:ascii="Times New Roman" w:hAnsi="Times New Roman" w:cs="Times New Roman" w:eastAsiaTheme="minorEastAsia"/>
          <w:color w:val="000000" w:themeColor="text1"/>
          <w:highlight w:val="none"/>
          <w14:textFill>
            <w14:solidFill>
              <w14:schemeClr w14:val="tx1"/>
            </w14:solidFill>
          </w14:textFill>
        </w:rPr>
        <w:t>、7</w:t>
      </w: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环境与安全、8质量管理</w:t>
      </w:r>
      <w:r>
        <w:rPr>
          <w:rFonts w:hint="default" w:ascii="Times New Roman" w:hAnsi="Times New Roman" w:cs="Times New Roman" w:eastAsiaTheme="minorEastAsia"/>
          <w:color w:val="000000" w:themeColor="text1"/>
          <w:highlight w:val="none"/>
          <w14:textFill>
            <w14:solidFill>
              <w14:schemeClr w14:val="tx1"/>
            </w14:solidFill>
          </w14:textFill>
        </w:rPr>
        <w:t>、</w:t>
      </w: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9财务及报表</w:t>
      </w:r>
      <w:r>
        <w:rPr>
          <w:rFonts w:hint="default" w:ascii="Times New Roman" w:hAnsi="Times New Roman" w:cs="Times New Roman" w:eastAsiaTheme="minorEastAsia"/>
          <w:color w:val="000000" w:themeColor="text1"/>
          <w:highlight w:val="none"/>
          <w14:textFill>
            <w14:solidFill>
              <w14:schemeClr w14:val="tx1"/>
            </w14:solidFill>
          </w14:textFill>
        </w:rPr>
        <w:t>、</w:t>
      </w: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10前沿技术、11分类评价</w:t>
      </w:r>
      <w:r>
        <w:rPr>
          <w:rFonts w:hint="default" w:ascii="Times New Roman" w:hAnsi="Times New Roman" w:cs="Times New Roman" w:eastAsiaTheme="minorEastAsia"/>
          <w:color w:val="000000" w:themeColor="text1"/>
          <w:highlight w:val="none"/>
          <w14:textFill>
            <w14:solidFill>
              <w14:schemeClr w14:val="tx1"/>
            </w14:solidFill>
          </w14:textFill>
        </w:rPr>
        <w:t>。</w:t>
      </w:r>
    </w:p>
    <w:p>
      <w:pPr>
        <w:pStyle w:val="34"/>
        <w:spacing w:after="900" w:line="458" w:lineRule="exact"/>
        <w:ind w:firstLine="480"/>
        <w:jc w:val="both"/>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本导则由武汉市自然资源和城乡建设局负责管理，</w:t>
      </w: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武汉市绿色建筑发展促进中心</w:t>
      </w:r>
      <w:r>
        <w:rPr>
          <w:rFonts w:hint="default" w:ascii="Times New Roman" w:hAnsi="Times New Roman" w:cs="Times New Roman" w:eastAsiaTheme="minorEastAsia"/>
          <w:color w:val="000000" w:themeColor="text1"/>
          <w:highlight w:val="none"/>
          <w14:textFill>
            <w14:solidFill>
              <w14:schemeClr w14:val="tx1"/>
            </w14:solidFill>
          </w14:textFill>
        </w:rPr>
        <w:t>负责本</w:t>
      </w: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导则</w:t>
      </w:r>
      <w:r>
        <w:rPr>
          <w:rFonts w:hint="default" w:ascii="Times New Roman" w:hAnsi="Times New Roman" w:cs="Times New Roman" w:eastAsiaTheme="minorEastAsia"/>
          <w:color w:val="000000" w:themeColor="text1"/>
          <w:highlight w:val="none"/>
          <w14:textFill>
            <w14:solidFill>
              <w14:schemeClr w14:val="tx1"/>
            </w14:solidFill>
          </w14:textFill>
        </w:rPr>
        <w:t>技术内容的解释。执行过程中如有意见或建议，请寄送至</w:t>
      </w: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武汉市绿色建筑发展促进中心</w:t>
      </w:r>
      <w:r>
        <w:rPr>
          <w:rFonts w:hint="default" w:ascii="Times New Roman" w:hAnsi="Times New Roman" w:cs="Times New Roman" w:eastAsiaTheme="minorEastAsia"/>
          <w:color w:val="000000" w:themeColor="text1"/>
          <w:highlight w:val="none"/>
          <w14:textFill>
            <w14:solidFill>
              <w14:schemeClr w14:val="tx1"/>
            </w14:solidFill>
          </w14:textFill>
        </w:rPr>
        <w:t>（地址：</w:t>
      </w: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武汉市江岸区老蔡家田</w:t>
      </w:r>
      <w:r>
        <w:rPr>
          <w:rFonts w:hint="eastAsia" w:ascii="Times New Roman" w:hAnsi="Times New Roman" w:cs="Times New Roman" w:eastAsiaTheme="minorEastAsia"/>
          <w:color w:val="000000" w:themeColor="text1"/>
          <w:highlight w:val="none"/>
          <w:lang w:val="en-US" w:eastAsia="zh-CN"/>
          <w14:textFill>
            <w14:solidFill>
              <w14:schemeClr w14:val="tx1"/>
            </w14:solidFill>
          </w14:textFill>
        </w:rPr>
        <w:t>特5号</w:t>
      </w:r>
      <w:r>
        <w:rPr>
          <w:rFonts w:hint="default" w:ascii="Times New Roman" w:hAnsi="Times New Roman" w:cs="Times New Roman"/>
          <w:color w:val="000000" w:themeColor="text1"/>
          <w:highlight w:val="none"/>
          <w14:textFill>
            <w14:solidFill>
              <w14:schemeClr w14:val="tx1"/>
            </w14:solidFill>
          </w14:textFill>
        </w:rPr>
        <w:t>；邮编：430015</w:t>
      </w:r>
      <w:r>
        <w:rPr>
          <w:rFonts w:hint="default" w:ascii="Times New Roman" w:hAnsi="Times New Roman" w:cs="Times New Roman" w:eastAsiaTheme="minorEastAsia"/>
          <w:color w:val="000000" w:themeColor="text1"/>
          <w:highlight w:val="none"/>
          <w14:textFill>
            <w14:solidFill>
              <w14:schemeClr w14:val="tx1"/>
            </w14:solidFill>
          </w14:textFill>
        </w:rPr>
        <w:t>）。</w:t>
      </w:r>
    </w:p>
    <w:p>
      <w:pPr>
        <w:pStyle w:val="34"/>
        <w:spacing w:after="160" w:line="240" w:lineRule="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主编单位：</w:t>
      </w: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武汉市绿色建筑发展促进中心</w:t>
      </w:r>
    </w:p>
    <w:p>
      <w:pPr>
        <w:pStyle w:val="34"/>
        <w:spacing w:after="160" w:line="240" w:lineRule="auto"/>
        <w:ind w:firstLine="1000" w:firstLineChars="500"/>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 xml:space="preserve">中建商品混凝土有限公司 </w:t>
      </w:r>
    </w:p>
    <w:p>
      <w:pPr>
        <w:keepNext w:val="0"/>
        <w:keepLines w:val="0"/>
        <w:pageBreakBefore w:val="0"/>
        <w:widowControl w:val="0"/>
        <w:kinsoku/>
        <w:wordWrap/>
        <w:overflowPunct/>
        <w:topLinePunct w:val="0"/>
        <w:autoSpaceDE/>
        <w:autoSpaceDN/>
        <w:bidi w:val="0"/>
        <w:adjustRightInd/>
        <w:snapToGrid/>
        <w:ind w:left="400" w:hanging="400" w:hangingChars="200"/>
        <w:jc w:val="both"/>
        <w:textAlignment w:val="cente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pPr>
      <w:r>
        <w:rPr>
          <w:rFonts w:hint="default" w:ascii="Times New Roman" w:hAnsi="Times New Roman" w:cs="Times New Roman" w:eastAsiaTheme="minorEastAsia"/>
          <w:color w:val="000000" w:themeColor="text1"/>
          <w:sz w:val="20"/>
          <w:szCs w:val="20"/>
          <w:highlight w:val="none"/>
          <w:lang w:val="zh-TW" w:eastAsia="zh-CN" w:bidi="zh-TW"/>
          <w14:textFill>
            <w14:solidFill>
              <w14:schemeClr w14:val="tx1"/>
            </w14:solidFill>
          </w14:textFill>
        </w:rPr>
        <w:t>本导则主要起草人员：</w:t>
      </w:r>
      <w:r>
        <w:rPr>
          <w:rFonts w:hint="default" w:ascii="Times New Roman" w:hAnsi="Times New Roman" w:cs="Times New Roman" w:eastAsiaTheme="minorEastAsia"/>
          <w:color w:val="000000" w:themeColor="text1"/>
          <w:spacing w:val="0"/>
          <w:kern w:val="0"/>
          <w:sz w:val="20"/>
          <w:szCs w:val="20"/>
          <w:highlight w:val="none"/>
          <w:fitText w:val="600" w:id="652758276"/>
          <w:lang w:val="zh-TW" w:eastAsia="zh-CN" w:bidi="zh-TW"/>
          <w14:textFill>
            <w14:solidFill>
              <w14:schemeClr w14:val="tx1"/>
            </w14:solidFill>
          </w14:textFill>
        </w:rPr>
        <w:t>肖</w:t>
      </w:r>
      <w:r>
        <w:rPr>
          <w:rFonts w:hint="default" w:ascii="Times New Roman" w:hAnsi="Times New Roman" w:cs="Times New Roman" w:eastAsiaTheme="minorEastAsia"/>
          <w:color w:val="000000" w:themeColor="text1"/>
          <w:spacing w:val="0"/>
          <w:kern w:val="0"/>
          <w:sz w:val="20"/>
          <w:szCs w:val="20"/>
          <w:highlight w:val="none"/>
          <w:fitText w:val="600" w:id="652758276"/>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pacing w:val="0"/>
          <w:kern w:val="0"/>
          <w:sz w:val="20"/>
          <w:szCs w:val="20"/>
          <w:highlight w:val="none"/>
          <w:fitText w:val="600" w:id="652758276"/>
          <w:lang w:val="zh-TW" w:eastAsia="zh-CN" w:bidi="zh-TW"/>
          <w14:textFill>
            <w14:solidFill>
              <w14:schemeClr w14:val="tx1"/>
            </w14:solidFill>
          </w14:textFill>
        </w:rPr>
        <w:t>孟</w:t>
      </w:r>
      <w:r>
        <w:rPr>
          <w:rFonts w:hint="default" w:ascii="Times New Roman" w:hAnsi="Times New Roman" w:cs="Times New Roman" w:eastAsiaTheme="minorEastAsia"/>
          <w:color w:val="000000" w:themeColor="text1"/>
          <w:spacing w:val="25"/>
          <w:kern w:val="0"/>
          <w:sz w:val="20"/>
          <w:szCs w:val="20"/>
          <w:highlight w:val="none"/>
          <w:fitText w:val="200" w:id="2065112119"/>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pacing w:val="0"/>
          <w:kern w:val="0"/>
          <w:sz w:val="20"/>
          <w:szCs w:val="20"/>
          <w:highlight w:val="none"/>
          <w:fitText w:val="200" w:id="2065112119"/>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pacing w:val="0"/>
          <w:kern w:val="0"/>
          <w:sz w:val="20"/>
          <w:szCs w:val="20"/>
          <w:highlight w:val="none"/>
          <w:fitText w:val="600" w:id="485769153"/>
          <w:lang w:val="zh-TW" w:eastAsia="zh-CN" w:bidi="zh-TW"/>
          <w14:textFill>
            <w14:solidFill>
              <w14:schemeClr w14:val="tx1"/>
            </w14:solidFill>
          </w14:textFill>
        </w:rPr>
        <w:t>李</w:t>
      </w:r>
      <w:r>
        <w:rPr>
          <w:rFonts w:hint="default" w:ascii="Times New Roman" w:hAnsi="Times New Roman" w:cs="Times New Roman" w:eastAsiaTheme="minorEastAsia"/>
          <w:color w:val="000000" w:themeColor="text1"/>
          <w:spacing w:val="0"/>
          <w:kern w:val="0"/>
          <w:sz w:val="20"/>
          <w:szCs w:val="20"/>
          <w:highlight w:val="none"/>
          <w:fitText w:val="600" w:id="485769153"/>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pacing w:val="0"/>
          <w:kern w:val="0"/>
          <w:sz w:val="20"/>
          <w:szCs w:val="20"/>
          <w:highlight w:val="none"/>
          <w:fitText w:val="600" w:id="485769153"/>
          <w:lang w:val="zh-TW" w:eastAsia="zh-CN" w:bidi="zh-TW"/>
          <w14:textFill>
            <w14:solidFill>
              <w14:schemeClr w14:val="tx1"/>
            </w14:solidFill>
          </w14:textFill>
        </w:rPr>
        <w:t>辉</w:t>
      </w:r>
      <w:r>
        <w:rPr>
          <w:rFonts w:hint="default" w:ascii="Times New Roman" w:hAnsi="Times New Roman" w:cs="Times New Roman" w:eastAsiaTheme="minorEastAsia"/>
          <w:color w:val="000000" w:themeColor="text1"/>
          <w:spacing w:val="25"/>
          <w:kern w:val="0"/>
          <w:sz w:val="20"/>
          <w:szCs w:val="20"/>
          <w:highlight w:val="none"/>
          <w:fitText w:val="200" w:id="612508563"/>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pacing w:val="0"/>
          <w:kern w:val="0"/>
          <w:sz w:val="20"/>
          <w:szCs w:val="20"/>
          <w:highlight w:val="none"/>
          <w:fitText w:val="200" w:id="612508563"/>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pacing w:val="0"/>
          <w:kern w:val="0"/>
          <w:sz w:val="20"/>
          <w:szCs w:val="20"/>
          <w:highlight w:val="none"/>
          <w:fitText w:val="600" w:id="1796023201"/>
          <w:lang w:val="en-US" w:eastAsia="zh-CN" w:bidi="zh-TW"/>
          <w14:textFill>
            <w14:solidFill>
              <w14:schemeClr w14:val="tx1"/>
            </w14:solidFill>
          </w14:textFill>
        </w:rPr>
        <w:t>张玉华</w:t>
      </w:r>
      <w:r>
        <w:rPr>
          <w:rFonts w:hint="default" w:ascii="Times New Roman" w:hAnsi="Times New Roman" w:cs="Times New Roman" w:eastAsiaTheme="minorEastAsia"/>
          <w:color w:val="000000" w:themeColor="text1"/>
          <w:spacing w:val="25"/>
          <w:kern w:val="0"/>
          <w:sz w:val="20"/>
          <w:szCs w:val="20"/>
          <w:highlight w:val="none"/>
          <w:fitText w:val="200" w:id="1837199916"/>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pacing w:val="0"/>
          <w:kern w:val="0"/>
          <w:sz w:val="20"/>
          <w:szCs w:val="20"/>
          <w:highlight w:val="none"/>
          <w:fitText w:val="200" w:id="1837199916"/>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pacing w:val="0"/>
          <w:kern w:val="0"/>
          <w:sz w:val="20"/>
          <w:szCs w:val="20"/>
          <w:highlight w:val="none"/>
          <w:fitText w:val="600" w:id="652758276"/>
          <w:lang w:val="en-US" w:eastAsia="zh-CN" w:bidi="zh-TW"/>
          <w14:textFill>
            <w14:solidFill>
              <w14:schemeClr w14:val="tx1"/>
            </w14:solidFill>
          </w14:textFill>
        </w:rPr>
        <w:t>陈宪清</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pacing w:val="0"/>
          <w:kern w:val="0"/>
          <w:sz w:val="20"/>
          <w:szCs w:val="20"/>
          <w:highlight w:val="none"/>
          <w:fitText w:val="600" w:id="652758276"/>
          <w:lang w:val="en-US" w:eastAsia="zh-CN" w:bidi="zh-TW"/>
          <w14:textFill>
            <w14:solidFill>
              <w14:schemeClr w14:val="tx1"/>
            </w14:solidFill>
          </w14:textFill>
        </w:rPr>
        <w:t>赵日煦</w:t>
      </w:r>
      <w:r>
        <w:rPr>
          <w:rFonts w:hint="default" w:ascii="Times New Roman" w:hAnsi="Times New Roman" w:cs="Times New Roman" w:eastAsiaTheme="minorEastAsia"/>
          <w:color w:val="000000" w:themeColor="text1"/>
          <w:spacing w:val="25"/>
          <w:kern w:val="0"/>
          <w:sz w:val="20"/>
          <w:szCs w:val="20"/>
          <w:highlight w:val="none"/>
          <w:fitText w:val="200" w:id="1837199916"/>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pacing w:val="0"/>
          <w:kern w:val="0"/>
          <w:sz w:val="20"/>
          <w:szCs w:val="20"/>
          <w:highlight w:val="none"/>
          <w:fitText w:val="200" w:id="1837199916"/>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pacing w:val="0"/>
          <w:kern w:val="0"/>
          <w:sz w:val="20"/>
          <w:szCs w:val="20"/>
          <w:highlight w:val="none"/>
          <w:fitText w:val="600" w:id="839396667"/>
          <w:lang w:val="zh-TW" w:eastAsia="zh-CN" w:bidi="zh-TW"/>
          <w14:textFill>
            <w14:solidFill>
              <w14:schemeClr w14:val="tx1"/>
            </w14:solidFill>
          </w14:textFill>
        </w:rPr>
        <w:t>杜莉莉</w:t>
      </w:r>
      <w:r>
        <w:rPr>
          <w:rFonts w:hint="default" w:ascii="Times New Roman" w:hAnsi="Times New Roman" w:cs="Times New Roman" w:eastAsiaTheme="minorEastAsia"/>
          <w:color w:val="000000" w:themeColor="text1"/>
          <w:spacing w:val="25"/>
          <w:kern w:val="0"/>
          <w:sz w:val="20"/>
          <w:szCs w:val="20"/>
          <w:highlight w:val="none"/>
          <w:fitText w:val="200" w:id="651103435"/>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pacing w:val="0"/>
          <w:kern w:val="0"/>
          <w:sz w:val="20"/>
          <w:szCs w:val="20"/>
          <w:highlight w:val="none"/>
          <w:fitText w:val="200" w:id="651103435"/>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z w:val="20"/>
          <w:szCs w:val="20"/>
          <w:highlight w:val="none"/>
          <w:lang w:val="zh-TW" w:eastAsia="zh-CN" w:bidi="zh-TW"/>
          <w14:textFill>
            <w14:solidFill>
              <w14:schemeClr w14:val="tx1"/>
            </w14:solidFill>
          </w14:textFill>
        </w:rPr>
        <w:t>杨旭辉</w:t>
      </w:r>
      <w:r>
        <w:rPr>
          <w:rFonts w:hint="default" w:ascii="Times New Roman" w:hAnsi="Times New Roman" w:cs="Times New Roman" w:eastAsiaTheme="minorEastAsia"/>
          <w:color w:val="000000" w:themeColor="text1"/>
          <w:spacing w:val="25"/>
          <w:kern w:val="0"/>
          <w:sz w:val="20"/>
          <w:szCs w:val="20"/>
          <w:highlight w:val="none"/>
          <w:fitText w:val="200" w:id="59732470"/>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pacing w:val="0"/>
          <w:kern w:val="0"/>
          <w:sz w:val="20"/>
          <w:szCs w:val="20"/>
          <w:highlight w:val="none"/>
          <w:fitText w:val="200" w:id="59732470"/>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pacing w:val="0"/>
          <w:kern w:val="0"/>
          <w:sz w:val="20"/>
          <w:szCs w:val="20"/>
          <w:highlight w:val="none"/>
          <w:fitText w:val="600" w:id="785267429"/>
          <w:lang w:val="en-US" w:eastAsia="zh-CN" w:bidi="zh-TW"/>
          <w14:textFill>
            <w14:solidFill>
              <w14:schemeClr w14:val="tx1"/>
            </w14:solidFill>
          </w14:textFill>
        </w:rPr>
        <w:t xml:space="preserve">陈   雁 </w:t>
      </w:r>
      <w:r>
        <w:rPr>
          <w:rFonts w:hint="default" w:ascii="Times New Roman" w:hAnsi="Times New Roman" w:cs="Times New Roman" w:eastAsiaTheme="minorEastAsia"/>
          <w:color w:val="000000" w:themeColor="text1"/>
          <w:spacing w:val="25"/>
          <w:kern w:val="0"/>
          <w:sz w:val="20"/>
          <w:szCs w:val="20"/>
          <w:highlight w:val="none"/>
          <w:fitText w:val="200" w:id="261507192"/>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pacing w:val="0"/>
          <w:kern w:val="0"/>
          <w:sz w:val="20"/>
          <w:szCs w:val="20"/>
          <w:highlight w:val="none"/>
          <w:fitText w:val="200" w:id="261507192"/>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pacing w:val="12"/>
          <w:kern w:val="0"/>
          <w:sz w:val="20"/>
          <w:szCs w:val="20"/>
          <w:highlight w:val="none"/>
          <w:fitText w:val="600" w:id="754470074"/>
          <w:lang w:val="en-US" w:eastAsia="zh-CN" w:bidi="zh-TW"/>
          <w14:textFill>
            <w14:solidFill>
              <w14:schemeClr w14:val="tx1"/>
            </w14:solidFill>
          </w14:textFill>
        </w:rPr>
        <w:t xml:space="preserve">李   </w:t>
      </w:r>
      <w:r>
        <w:rPr>
          <w:rFonts w:hint="default" w:ascii="Times New Roman" w:hAnsi="Times New Roman" w:cs="Times New Roman" w:eastAsiaTheme="minorEastAsia"/>
          <w:color w:val="000000" w:themeColor="text1"/>
          <w:spacing w:val="2"/>
          <w:kern w:val="0"/>
          <w:sz w:val="20"/>
          <w:szCs w:val="20"/>
          <w:highlight w:val="none"/>
          <w:fitText w:val="600" w:id="754470074"/>
          <w:lang w:val="en-US" w:eastAsia="zh-CN" w:bidi="zh-TW"/>
          <w14:textFill>
            <w14:solidFill>
              <w14:schemeClr w14:val="tx1"/>
            </w14:solidFill>
          </w14:textFill>
        </w:rPr>
        <w:t>兴</w:t>
      </w:r>
    </w:p>
    <w:p>
      <w:pPr>
        <w:keepNext w:val="0"/>
        <w:keepLines w:val="0"/>
        <w:pageBreakBefore w:val="0"/>
        <w:widowControl w:val="0"/>
        <w:kinsoku/>
        <w:wordWrap/>
        <w:overflowPunct/>
        <w:topLinePunct w:val="0"/>
        <w:autoSpaceDE/>
        <w:autoSpaceDN/>
        <w:bidi w:val="0"/>
        <w:adjustRightInd/>
        <w:snapToGrid/>
        <w:ind w:left="398" w:leftChars="166" w:firstLine="1600" w:firstLineChars="800"/>
        <w:jc w:val="both"/>
        <w:textAlignment w:val="cente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pPr>
      <w:r>
        <w:rPr>
          <w:rFonts w:hint="default" w:ascii="Times New Roman" w:hAnsi="Times New Roman" w:cs="Times New Roman" w:eastAsiaTheme="minorEastAsia"/>
          <w:color w:val="000000" w:themeColor="text1"/>
          <w:spacing w:val="0"/>
          <w:kern w:val="0"/>
          <w:sz w:val="20"/>
          <w:szCs w:val="20"/>
          <w:highlight w:val="none"/>
          <w:fitText w:val="600" w:id="652758276"/>
          <w:lang w:val="zh-TW" w:eastAsia="zh-CN" w:bidi="zh-TW"/>
          <w14:textFill>
            <w14:solidFill>
              <w14:schemeClr w14:val="tx1"/>
            </w14:solidFill>
          </w14:textFill>
        </w:rPr>
        <w:t>瞿诗曜</w:t>
      </w:r>
      <w:r>
        <w:rPr>
          <w:rFonts w:hint="eastAsia" w:ascii="Times New Roman" w:hAnsi="Times New Roman" w:cs="Times New Roman" w:eastAsiaTheme="minorEastAsia"/>
          <w:color w:val="000000" w:themeColor="text1"/>
          <w:kern w:val="0"/>
          <w:sz w:val="20"/>
          <w:szCs w:val="20"/>
          <w:highlight w:val="none"/>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pacing w:val="0"/>
          <w:kern w:val="0"/>
          <w:sz w:val="20"/>
          <w:szCs w:val="20"/>
          <w:highlight w:val="none"/>
          <w:fitText w:val="600" w:id="485769153"/>
          <w:lang w:val="en-US" w:eastAsia="zh-CN" w:bidi="zh-TW"/>
          <w14:textFill>
            <w14:solidFill>
              <w14:schemeClr w14:val="tx1"/>
            </w14:solidFill>
          </w14:textFill>
        </w:rPr>
        <w:t>谢    华</w:t>
      </w:r>
      <w:r>
        <w:rPr>
          <w:rFonts w:hint="eastAsia" w:ascii="Times New Roman" w:hAnsi="Times New Roman" w:cs="Times New Roman" w:eastAsiaTheme="minorEastAsia"/>
          <w:color w:val="000000" w:themeColor="text1"/>
          <w:spacing w:val="0"/>
          <w:w w:val="80"/>
          <w:kern w:val="0"/>
          <w:sz w:val="20"/>
          <w:szCs w:val="20"/>
          <w:highlight w:val="none"/>
          <w:fitText w:val="200" w:id="1215633176"/>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pacing w:val="12"/>
          <w:kern w:val="0"/>
          <w:sz w:val="20"/>
          <w:szCs w:val="20"/>
          <w:highlight w:val="none"/>
          <w:fitText w:val="600" w:id="1796023201"/>
          <w:lang w:val="zh-TW" w:eastAsia="zh-CN" w:bidi="zh-TW"/>
          <w14:textFill>
            <w14:solidFill>
              <w14:schemeClr w14:val="tx1"/>
            </w14:solidFill>
          </w14:textFill>
        </w:rPr>
        <w:t>陈</w:t>
      </w:r>
      <w:r>
        <w:rPr>
          <w:rFonts w:hint="default" w:ascii="Times New Roman" w:hAnsi="Times New Roman" w:cs="Times New Roman" w:eastAsiaTheme="minorEastAsia"/>
          <w:color w:val="000000" w:themeColor="text1"/>
          <w:spacing w:val="12"/>
          <w:kern w:val="0"/>
          <w:sz w:val="20"/>
          <w:szCs w:val="20"/>
          <w:highlight w:val="none"/>
          <w:fitText w:val="600" w:id="1796023201"/>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pacing w:val="2"/>
          <w:kern w:val="0"/>
          <w:sz w:val="20"/>
          <w:szCs w:val="20"/>
          <w:highlight w:val="none"/>
          <w:fitText w:val="600" w:id="1796023201"/>
          <w:lang w:val="zh-TW" w:eastAsia="zh-CN" w:bidi="zh-TW"/>
          <w14:textFill>
            <w14:solidFill>
              <w14:schemeClr w14:val="tx1"/>
            </w14:solidFill>
          </w14:textFill>
        </w:rPr>
        <w:t>林</w:t>
      </w:r>
      <w:r>
        <w:rPr>
          <w:rFonts w:hint="default" w:ascii="Times New Roman" w:hAnsi="Times New Roman" w:cs="Times New Roman" w:eastAsiaTheme="minorEastAsia"/>
          <w:color w:val="000000" w:themeColor="text1"/>
          <w:spacing w:val="100"/>
          <w:kern w:val="0"/>
          <w:sz w:val="20"/>
          <w:szCs w:val="20"/>
          <w:highlight w:val="none"/>
          <w:fitText w:val="200" w:id="612508563"/>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pacing w:val="0"/>
          <w:kern w:val="0"/>
          <w:sz w:val="20"/>
          <w:szCs w:val="20"/>
          <w:highlight w:val="none"/>
          <w:fitText w:val="200" w:id="612508563"/>
          <w:lang w:val="en-US" w:eastAsia="zh-CN" w:bidi="zh-TW"/>
          <w14:textFill>
            <w14:solidFill>
              <w14:schemeClr w14:val="tx1"/>
            </w14:solidFill>
          </w14:textFill>
        </w:rPr>
        <w:t xml:space="preserve"> </w:t>
      </w:r>
      <w:r>
        <w:rPr>
          <w:rFonts w:hint="eastAsia" w:ascii="Times New Roman" w:hAnsi="Times New Roman" w:cs="Times New Roman" w:eastAsiaTheme="minorEastAsia"/>
          <w:color w:val="000000" w:themeColor="text1"/>
          <w:kern w:val="0"/>
          <w:sz w:val="20"/>
          <w:szCs w:val="20"/>
          <w:highlight w:val="none"/>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pacing w:val="0"/>
          <w:kern w:val="0"/>
          <w:sz w:val="20"/>
          <w:szCs w:val="20"/>
          <w:highlight w:val="none"/>
          <w:fitText w:val="600" w:id="1796023201"/>
          <w:lang w:val="zh-TW" w:eastAsia="zh-CN" w:bidi="zh-TW"/>
          <w14:textFill>
            <w14:solidFill>
              <w14:schemeClr w14:val="tx1"/>
            </w14:solidFill>
          </w14:textFill>
        </w:rPr>
        <w:t>刘宪红</w:t>
      </w:r>
      <w:r>
        <w:rPr>
          <w:rFonts w:hint="eastAsia" w:ascii="Times New Roman" w:hAnsi="Times New Roman" w:cs="Times New Roman" w:eastAsiaTheme="minorEastAsia"/>
          <w:color w:val="000000" w:themeColor="text1"/>
          <w:kern w:val="0"/>
          <w:sz w:val="20"/>
          <w:szCs w:val="20"/>
          <w:highlight w:val="none"/>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pacing w:val="0"/>
          <w:w w:val="51"/>
          <w:kern w:val="0"/>
          <w:sz w:val="20"/>
          <w:szCs w:val="20"/>
          <w:highlight w:val="none"/>
          <w:fitText w:val="128" w:id="1491415292"/>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pacing w:val="1"/>
          <w:w w:val="51"/>
          <w:kern w:val="0"/>
          <w:sz w:val="20"/>
          <w:szCs w:val="20"/>
          <w:highlight w:val="none"/>
          <w:fitText w:val="128" w:id="1491415292"/>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pacing w:val="0"/>
          <w:kern w:val="0"/>
          <w:sz w:val="20"/>
          <w:szCs w:val="20"/>
          <w:highlight w:val="none"/>
          <w:fitText w:val="600" w:id="652758276"/>
          <w:lang w:val="zh-TW" w:eastAsia="zh-CN" w:bidi="zh-TW"/>
          <w14:textFill>
            <w14:solidFill>
              <w14:schemeClr w14:val="tx1"/>
            </w14:solidFill>
          </w14:textFill>
        </w:rPr>
        <w:t>韩栩仟</w:t>
      </w:r>
      <w:r>
        <w:rPr>
          <w:rFonts w:hint="default" w:ascii="Times New Roman" w:hAnsi="Times New Roman" w:cs="Times New Roman" w:eastAsiaTheme="minorEastAsia"/>
          <w:color w:val="000000" w:themeColor="text1"/>
          <w:spacing w:val="13"/>
          <w:w w:val="100"/>
          <w:kern w:val="0"/>
          <w:sz w:val="20"/>
          <w:szCs w:val="20"/>
          <w:highlight w:val="none"/>
          <w:fitText w:val="240" w:id="53903105"/>
          <w:lang w:val="en-US" w:eastAsia="zh-CN" w:bidi="zh-TW"/>
          <w14:textFill>
            <w14:solidFill>
              <w14:schemeClr w14:val="tx1"/>
            </w14:solidFill>
          </w14:textFill>
        </w:rPr>
        <w:t xml:space="preserve">  </w:t>
      </w:r>
      <w:r>
        <w:rPr>
          <w:rFonts w:hint="eastAsia" w:ascii="Times New Roman" w:hAnsi="Times New Roman" w:cs="Times New Roman" w:eastAsiaTheme="minorEastAsia"/>
          <w:color w:val="000000" w:themeColor="text1"/>
          <w:spacing w:val="13"/>
          <w:w w:val="100"/>
          <w:kern w:val="0"/>
          <w:sz w:val="20"/>
          <w:szCs w:val="20"/>
          <w:highlight w:val="none"/>
          <w:fitText w:val="240" w:id="53903105"/>
          <w:lang w:val="en-US" w:eastAsia="zh-CN" w:bidi="zh-TW"/>
          <w14:textFill>
            <w14:solidFill>
              <w14:schemeClr w14:val="tx1"/>
            </w14:solidFill>
          </w14:textFill>
        </w:rPr>
        <w:t xml:space="preserve"> </w:t>
      </w:r>
      <w:r>
        <w:rPr>
          <w:rFonts w:hint="eastAsia" w:ascii="Times New Roman" w:hAnsi="Times New Roman" w:cs="Times New Roman" w:eastAsiaTheme="minorEastAsia"/>
          <w:color w:val="000000" w:themeColor="text1"/>
          <w:spacing w:val="1"/>
          <w:w w:val="100"/>
          <w:kern w:val="0"/>
          <w:sz w:val="20"/>
          <w:szCs w:val="20"/>
          <w:highlight w:val="none"/>
          <w:fitText w:val="240" w:id="53903105"/>
          <w:lang w:val="en-US" w:eastAsia="zh-CN" w:bidi="zh-TW"/>
          <w14:textFill>
            <w14:solidFill>
              <w14:schemeClr w14:val="tx1"/>
            </w14:solidFill>
          </w14:textFill>
        </w:rPr>
        <w:t xml:space="preserve"> </w:t>
      </w:r>
      <w:r>
        <w:rPr>
          <w:rFonts w:hint="eastAsia" w:ascii="Times New Roman" w:hAnsi="Times New Roman" w:cs="Times New Roman" w:eastAsiaTheme="minorEastAsia"/>
          <w:color w:val="000000" w:themeColor="text1"/>
          <w:kern w:val="0"/>
          <w:sz w:val="20"/>
          <w:szCs w:val="20"/>
          <w:highlight w:val="none"/>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pacing w:val="0"/>
          <w:kern w:val="0"/>
          <w:sz w:val="20"/>
          <w:szCs w:val="20"/>
          <w:highlight w:val="none"/>
          <w:fitText w:val="600" w:id="652758276"/>
          <w:lang w:val="zh-TW" w:eastAsia="zh-CN" w:bidi="zh-TW"/>
          <w14:textFill>
            <w14:solidFill>
              <w14:schemeClr w14:val="tx1"/>
            </w14:solidFill>
          </w14:textFill>
        </w:rPr>
        <w:t>徐智东</w:t>
      </w:r>
      <w:r>
        <w:rPr>
          <w:rFonts w:hint="default" w:ascii="Times New Roman" w:hAnsi="Times New Roman" w:cs="Times New Roman" w:eastAsiaTheme="minorEastAsia"/>
          <w:color w:val="000000" w:themeColor="text1"/>
          <w:spacing w:val="25"/>
          <w:kern w:val="0"/>
          <w:sz w:val="20"/>
          <w:szCs w:val="20"/>
          <w:highlight w:val="none"/>
          <w:fitText w:val="200" w:id="563561329"/>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pacing w:val="0"/>
          <w:kern w:val="0"/>
          <w:sz w:val="20"/>
          <w:szCs w:val="20"/>
          <w:highlight w:val="none"/>
          <w:fitText w:val="200" w:id="563561329"/>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pacing w:val="0"/>
          <w:kern w:val="0"/>
          <w:sz w:val="20"/>
          <w:szCs w:val="20"/>
          <w:highlight w:val="none"/>
          <w:fitText w:val="600" w:id="652758276"/>
          <w:lang w:val="zh-TW" w:eastAsia="zh-CN" w:bidi="zh-TW"/>
          <w14:textFill>
            <w14:solidFill>
              <w14:schemeClr w14:val="tx1"/>
            </w14:solidFill>
          </w14:textFill>
        </w:rPr>
        <w:t>张念梅</w:t>
      </w:r>
      <w:r>
        <w:rPr>
          <w:rFonts w:hint="default" w:ascii="Times New Roman" w:hAnsi="Times New Roman" w:cs="Times New Roman" w:eastAsiaTheme="minorEastAsia"/>
          <w:color w:val="000000" w:themeColor="text1"/>
          <w:spacing w:val="100"/>
          <w:kern w:val="0"/>
          <w:sz w:val="20"/>
          <w:szCs w:val="20"/>
          <w:highlight w:val="none"/>
          <w:fitText w:val="200" w:id="118648209"/>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pacing w:val="0"/>
          <w:kern w:val="0"/>
          <w:sz w:val="20"/>
          <w:szCs w:val="20"/>
          <w:highlight w:val="none"/>
          <w:fitText w:val="200" w:id="118648209"/>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pacing w:val="0"/>
          <w:kern w:val="0"/>
          <w:sz w:val="20"/>
          <w:szCs w:val="20"/>
          <w:highlight w:val="none"/>
          <w:fitText w:val="600" w:id="652758276"/>
          <w:lang w:val="en-US" w:eastAsia="zh-CN" w:bidi="zh-TW"/>
          <w14:textFill>
            <w14:solidFill>
              <w14:schemeClr w14:val="tx1"/>
            </w14:solidFill>
          </w14:textFill>
        </w:rPr>
        <w:t>唐娟娟</w:t>
      </w:r>
      <w:r>
        <w:rPr>
          <w:rFonts w:hint="default" w:ascii="Times New Roman" w:hAnsi="Times New Roman" w:cs="Times New Roman" w:eastAsiaTheme="minorEastAsia"/>
          <w:color w:val="000000" w:themeColor="text1"/>
          <w:spacing w:val="0"/>
          <w:kern w:val="0"/>
          <w:sz w:val="20"/>
          <w:szCs w:val="20"/>
          <w:highlight w:val="none"/>
          <w:fitText w:val="200" w:id="319489205"/>
          <w:lang w:val="en-US" w:eastAsia="zh-CN" w:bidi="zh-TW"/>
          <w14:textFill>
            <w14:solidFill>
              <w14:schemeClr w14:val="tx1"/>
            </w14:solidFill>
          </w14:textFill>
        </w:rPr>
        <w:t xml:space="preserve">    </w:t>
      </w:r>
      <w:r>
        <w:rPr>
          <w:rFonts w:hint="eastAsia" w:ascii="Times New Roman" w:hAnsi="Times New Roman" w:cs="Times New Roman" w:eastAsiaTheme="minorEastAsia"/>
          <w:color w:val="000000" w:themeColor="text1"/>
          <w:kern w:val="0"/>
          <w:sz w:val="20"/>
          <w:szCs w:val="20"/>
          <w:highlight w:val="none"/>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pacing w:val="200"/>
          <w:kern w:val="0"/>
          <w:sz w:val="20"/>
          <w:szCs w:val="20"/>
          <w:highlight w:val="none"/>
          <w:fitText w:val="600" w:id="381119223"/>
          <w:lang w:val="en-US" w:eastAsia="zh-CN" w:bidi="zh-TW"/>
          <w14:textFill>
            <w14:solidFill>
              <w14:schemeClr w14:val="tx1"/>
            </w14:solidFill>
          </w14:textFill>
        </w:rPr>
        <w:t>张</w:t>
      </w:r>
      <w:r>
        <w:rPr>
          <w:rFonts w:hint="default" w:ascii="Times New Roman" w:hAnsi="Times New Roman" w:cs="Times New Roman" w:eastAsiaTheme="minorEastAsia"/>
          <w:color w:val="000000" w:themeColor="text1"/>
          <w:spacing w:val="0"/>
          <w:kern w:val="0"/>
          <w:sz w:val="20"/>
          <w:szCs w:val="20"/>
          <w:highlight w:val="none"/>
          <w:fitText w:val="600" w:id="381119223"/>
          <w:lang w:val="en-US" w:eastAsia="zh-CN" w:bidi="zh-TW"/>
          <w14:textFill>
            <w14:solidFill>
              <w14:schemeClr w14:val="tx1"/>
            </w14:solidFill>
          </w14:textFill>
        </w:rPr>
        <w:t>帆</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pacing w:val="0"/>
          <w:kern w:val="0"/>
          <w:sz w:val="20"/>
          <w:szCs w:val="20"/>
          <w:highlight w:val="none"/>
          <w:fitText w:val="600" w:id="926106528"/>
          <w:lang w:val="zh-TW" w:eastAsia="zh-CN" w:bidi="zh-TW"/>
          <w14:textFill>
            <w14:solidFill>
              <w14:schemeClr w14:val="tx1"/>
            </w14:solidFill>
          </w14:textFill>
        </w:rPr>
        <w:t>刘研奇</w:t>
      </w:r>
      <w:r>
        <w:rPr>
          <w:rFonts w:hint="default" w:ascii="Times New Roman" w:hAnsi="Times New Roman" w:cs="Times New Roman" w:eastAsiaTheme="minorEastAsia"/>
          <w:color w:val="000000" w:themeColor="text1"/>
          <w:spacing w:val="150"/>
          <w:kern w:val="0"/>
          <w:sz w:val="20"/>
          <w:szCs w:val="20"/>
          <w:highlight w:val="none"/>
          <w:fitText w:val="200" w:id="376140784"/>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钱继红</w:t>
      </w:r>
      <w:r>
        <w:rPr>
          <w:rFonts w:hint="eastAsia" w:cs="Times New Roman" w:eastAsiaTheme="minorEastAsia"/>
          <w:color w:val="000000" w:themeColor="text1"/>
          <w:sz w:val="20"/>
          <w:szCs w:val="20"/>
          <w:highlight w:val="none"/>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pacing w:val="33"/>
          <w:kern w:val="0"/>
          <w:sz w:val="20"/>
          <w:szCs w:val="20"/>
          <w:highlight w:val="none"/>
          <w:fitText w:val="600" w:id="1860380358"/>
          <w:lang w:val="zh-TW" w:eastAsia="zh-CN" w:bidi="zh-TW"/>
          <w14:textFill>
            <w14:solidFill>
              <w14:schemeClr w14:val="tx1"/>
            </w14:solidFill>
          </w14:textFill>
        </w:rPr>
        <w:t xml:space="preserve">刘  </w:t>
      </w:r>
      <w:r>
        <w:rPr>
          <w:rFonts w:hint="default" w:ascii="Times New Roman" w:hAnsi="Times New Roman" w:cs="Times New Roman" w:eastAsiaTheme="minorEastAsia"/>
          <w:color w:val="000000" w:themeColor="text1"/>
          <w:spacing w:val="1"/>
          <w:kern w:val="0"/>
          <w:sz w:val="20"/>
          <w:szCs w:val="20"/>
          <w:highlight w:val="none"/>
          <w:fitText w:val="600" w:id="1860380358"/>
          <w:lang w:val="zh-TW" w:eastAsia="zh-CN" w:bidi="zh-TW"/>
          <w14:textFill>
            <w14:solidFill>
              <w14:schemeClr w14:val="tx1"/>
            </w14:solidFill>
          </w14:textFill>
        </w:rPr>
        <w:t>倩</w:t>
      </w:r>
      <w:r>
        <w:rPr>
          <w:rFonts w:hint="default" w:ascii="Times New Roman" w:hAnsi="Times New Roman" w:cs="Times New Roman" w:eastAsiaTheme="minorEastAsia"/>
          <w:color w:val="000000" w:themeColor="text1"/>
          <w:spacing w:val="0"/>
          <w:w w:val="100"/>
          <w:kern w:val="0"/>
          <w:sz w:val="20"/>
          <w:szCs w:val="20"/>
          <w:highlight w:val="none"/>
          <w:fitText w:val="200" w:id="1708156262"/>
          <w:lang w:val="zh-TW" w:eastAsia="zh-CN" w:bidi="zh-TW"/>
          <w14:textFill>
            <w14:solidFill>
              <w14:schemeClr w14:val="tx1"/>
            </w14:solidFill>
          </w14:textFill>
        </w:rPr>
        <w:t>　</w:t>
      </w:r>
      <w:r>
        <w:rPr>
          <w:rFonts w:hint="default" w:ascii="Times New Roman" w:hAnsi="Times New Roman" w:cs="Times New Roman" w:eastAsiaTheme="minorEastAsia"/>
          <w:color w:val="000000" w:themeColor="text1"/>
          <w:sz w:val="20"/>
          <w:szCs w:val="20"/>
          <w:highlight w:val="none"/>
          <w:lang w:val="zh-TW" w:eastAsia="zh-CN" w:bidi="zh-TW"/>
          <w14:textFill>
            <w14:solidFill>
              <w14:schemeClr w14:val="tx1"/>
            </w14:solidFill>
          </w14:textFill>
        </w:rPr>
        <w:t>周改红</w:t>
      </w:r>
    </w:p>
    <w:p>
      <w:pPr>
        <w:keepNext w:val="0"/>
        <w:keepLines w:val="0"/>
        <w:pageBreakBefore w:val="0"/>
        <w:widowControl w:val="0"/>
        <w:kinsoku/>
        <w:wordWrap/>
        <w:overflowPunct/>
        <w:topLinePunct w:val="0"/>
        <w:autoSpaceDE/>
        <w:autoSpaceDN/>
        <w:bidi w:val="0"/>
        <w:adjustRightInd/>
        <w:snapToGrid/>
        <w:ind w:left="398" w:leftChars="166" w:firstLine="1600" w:firstLineChars="800"/>
        <w:jc w:val="both"/>
        <w:textAlignment w:val="center"/>
        <w:rPr>
          <w:rFonts w:hint="default" w:ascii="Times New Roman" w:hAnsi="Times New Roman" w:cs="Times New Roman" w:eastAsiaTheme="minorEastAsia"/>
          <w:color w:val="000000" w:themeColor="text1"/>
          <w:sz w:val="20"/>
          <w:szCs w:val="20"/>
          <w:highlight w:val="none"/>
          <w:lang w:val="zh-TW" w:eastAsia="zh-CN" w:bidi="zh-TW"/>
          <w14:textFill>
            <w14:solidFill>
              <w14:schemeClr w14:val="tx1"/>
            </w14:solidFill>
          </w14:textFill>
        </w:rPr>
      </w:pPr>
    </w:p>
    <w:p>
      <w:pPr>
        <w:ind w:left="2392" w:leftChars="830" w:hanging="400" w:hangingChars="200"/>
        <w:jc w:val="both"/>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pPr>
    </w:p>
    <w:p>
      <w:pPr>
        <w:ind w:left="1462" w:leftChars="609" w:firstLine="945" w:firstLineChars="450"/>
        <w:rPr>
          <w:rFonts w:hint="default" w:ascii="Times New Roman" w:hAnsi="Times New Roman" w:cs="Times New Roman"/>
          <w:b w:val="0"/>
          <w:bCs/>
          <w:i w:val="0"/>
          <w:caps w:val="0"/>
          <w:color w:val="000000" w:themeColor="text1"/>
          <w:spacing w:val="0"/>
          <w:w w:val="100"/>
          <w:sz w:val="21"/>
          <w:szCs w:val="21"/>
          <w:highlight w:val="none"/>
          <w14:textFill>
            <w14:solidFill>
              <w14:schemeClr w14:val="tx1"/>
            </w14:solidFill>
          </w14:textFill>
        </w:rPr>
      </w:pPr>
    </w:p>
    <w:p>
      <w:pPr>
        <w:ind w:left="1462" w:leftChars="609" w:firstLine="945" w:firstLineChars="450"/>
        <w:rPr>
          <w:rFonts w:hint="default" w:ascii="Times New Roman" w:hAnsi="Times New Roman" w:cs="Times New Roman"/>
          <w:b w:val="0"/>
          <w:bCs/>
          <w:i w:val="0"/>
          <w:caps w:val="0"/>
          <w:color w:val="000000" w:themeColor="text1"/>
          <w:spacing w:val="0"/>
          <w:w w:val="100"/>
          <w:sz w:val="21"/>
          <w:szCs w:val="21"/>
          <w:highlight w:val="none"/>
          <w14:textFill>
            <w14:solidFill>
              <w14:schemeClr w14:val="tx1"/>
            </w14:solidFill>
          </w14:textFill>
        </w:rPr>
        <w:sectPr>
          <w:footerReference r:id="rId6" w:type="default"/>
          <w:pgSz w:w="11900" w:h="16840"/>
          <w:pgMar w:top="1463" w:right="1264" w:bottom="1939" w:left="1729" w:header="1032" w:footer="850" w:gutter="0"/>
          <w:pgNumType w:fmt="decimal" w:start="1"/>
          <w:cols w:space="0" w:num="1"/>
          <w:rtlGutter w:val="0"/>
          <w:docGrid w:linePitch="360" w:charSpace="0"/>
        </w:sectPr>
      </w:pPr>
    </w:p>
    <w:sdt>
      <w:sdtPr>
        <w:rPr>
          <w:rFonts w:hint="default" w:ascii="Times New Roman" w:hAnsi="Times New Roman" w:eastAsia="Times New Roman" w:cs="Times New Roman"/>
          <w:b w:val="0"/>
          <w:bCs w:val="0"/>
          <w:color w:val="000000" w:themeColor="text1"/>
          <w:sz w:val="24"/>
          <w:szCs w:val="24"/>
          <w:highlight w:val="none"/>
          <w:lang w:val="zh-CN"/>
          <w14:textFill>
            <w14:solidFill>
              <w14:schemeClr w14:val="tx1"/>
            </w14:solidFill>
          </w14:textFill>
        </w:rPr>
        <w:id w:val="559212476"/>
        <w:docPartObj>
          <w:docPartGallery w:val="Table of Contents"/>
          <w:docPartUnique/>
        </w:docPartObj>
      </w:sdtPr>
      <w:sdtEndPr>
        <w:rPr>
          <w:rFonts w:hint="default" w:ascii="Times New Roman" w:hAnsi="Times New Roman" w:eastAsia="Times New Roman" w:cs="Times New Roman"/>
          <w:b/>
          <w:bCs w:val="0"/>
          <w:color w:val="000000" w:themeColor="text1"/>
          <w:sz w:val="20"/>
          <w:szCs w:val="20"/>
          <w:highlight w:val="none"/>
          <w:lang w:val="zh-CN"/>
          <w14:textFill>
            <w14:solidFill>
              <w14:schemeClr w14:val="tx1"/>
            </w14:solidFill>
          </w14:textFill>
        </w:rPr>
      </w:sdtEndPr>
      <w:sdtContent>
        <w:p>
          <w:pPr>
            <w:pStyle w:val="57"/>
            <w:pageBreakBefore w:val="0"/>
            <w:kinsoku/>
            <w:wordWrap/>
            <w:overflowPunct/>
            <w:topLinePunct w:val="0"/>
            <w:autoSpaceDE/>
            <w:autoSpaceDN/>
            <w:bidi w:val="0"/>
            <w:adjustRightInd/>
            <w:snapToGrid w:val="0"/>
            <w:spacing w:before="480" w:beforeAutospacing="0" w:after="0" w:afterAutospacing="0" w:line="500" w:lineRule="exact"/>
            <w:jc w:val="center"/>
            <w:textAlignment w:val="baseline"/>
            <w:rPr>
              <w:rFonts w:hint="default" w:ascii="Times New Roman" w:hAnsi="Times New Roman" w:eastAsia="黑体" w:cs="Times New Roman"/>
              <w:b/>
              <w:bCs w:val="0"/>
              <w:i w:val="0"/>
              <w:caps w:val="0"/>
              <w:color w:val="000000" w:themeColor="text1"/>
              <w:spacing w:val="0"/>
              <w:w w:val="100"/>
              <w:sz w:val="24"/>
              <w:szCs w:val="24"/>
              <w:highlight w:val="none"/>
              <w:lang w:val="zh-CN"/>
              <w14:textFill>
                <w14:solidFill>
                  <w14:schemeClr w14:val="tx1"/>
                </w14:solidFill>
              </w14:textFill>
            </w:rPr>
          </w:pPr>
          <w:r>
            <w:rPr>
              <w:rFonts w:hint="default" w:ascii="Times New Roman" w:hAnsi="Times New Roman" w:eastAsia="黑体" w:cs="Times New Roman"/>
              <w:b/>
              <w:bCs w:val="0"/>
              <w:i w:val="0"/>
              <w:caps w:val="0"/>
              <w:color w:val="000000" w:themeColor="text1"/>
              <w:spacing w:val="0"/>
              <w:w w:val="100"/>
              <w:sz w:val="24"/>
              <w:szCs w:val="24"/>
              <w:highlight w:val="none"/>
              <w14:textFill>
                <w14:solidFill>
                  <w14:schemeClr w14:val="tx1"/>
                </w14:solidFill>
              </w14:textFill>
            </w:rPr>
            <w:t>目</w:t>
          </w:r>
          <w:r>
            <w:rPr>
              <w:rFonts w:hint="default" w:ascii="Times New Roman" w:hAnsi="Times New Roman" w:eastAsia="黑体" w:cs="Times New Roman"/>
              <w:b/>
              <w:bCs w:val="0"/>
              <w:i w:val="0"/>
              <w:caps w:val="0"/>
              <w:color w:val="000000" w:themeColor="text1"/>
              <w:spacing w:val="0"/>
              <w:w w:val="100"/>
              <w:sz w:val="24"/>
              <w:szCs w:val="24"/>
              <w:highlight w:val="none"/>
              <w:lang w:val="en-US" w:eastAsia="zh-CN"/>
              <w14:textFill>
                <w14:solidFill>
                  <w14:schemeClr w14:val="tx1"/>
                </w14:solidFill>
              </w14:textFill>
            </w:rPr>
            <w:t xml:space="preserve">   </w:t>
          </w:r>
          <w:r>
            <w:rPr>
              <w:rFonts w:hint="default" w:ascii="Times New Roman" w:hAnsi="Times New Roman" w:eastAsia="黑体" w:cs="Times New Roman"/>
              <w:b/>
              <w:bCs w:val="0"/>
              <w:i w:val="0"/>
              <w:caps w:val="0"/>
              <w:color w:val="000000" w:themeColor="text1"/>
              <w:spacing w:val="0"/>
              <w:w w:val="100"/>
              <w:sz w:val="24"/>
              <w:szCs w:val="24"/>
              <w:highlight w:val="none"/>
              <w:lang w:val="zh-CN"/>
              <w14:textFill>
                <w14:solidFill>
                  <w14:schemeClr w14:val="tx1"/>
                </w14:solidFill>
              </w14:textFill>
            </w:rPr>
            <w:t>录</w:t>
          </w:r>
        </w:p>
        <w:p>
          <w:pPr>
            <w:pStyle w:val="12"/>
            <w:tabs>
              <w:tab w:val="right" w:leader="dot" w:pos="8907"/>
            </w:tabs>
            <w:rPr>
              <w:sz w:val="20"/>
              <w:szCs w:val="20"/>
            </w:rPr>
          </w:pPr>
          <w:r>
            <w:rPr>
              <w:rFonts w:hint="default" w:ascii="Times New Roman" w:hAnsi="Times New Roman" w:eastAsia="黑体" w:cs="Times New Roman"/>
              <w:b/>
              <w:bCs w:val="0"/>
              <w:i w:val="0"/>
              <w:caps w:val="0"/>
              <w:color w:val="000000" w:themeColor="text1"/>
              <w:spacing w:val="0"/>
              <w:w w:val="100"/>
              <w:sz w:val="20"/>
              <w:szCs w:val="20"/>
              <w:highlight w:val="none"/>
              <w14:textFill>
                <w14:solidFill>
                  <w14:schemeClr w14:val="tx1"/>
                </w14:solidFill>
              </w14:textFill>
            </w:rPr>
            <w:fldChar w:fldCharType="begin"/>
          </w:r>
          <w:r>
            <w:rPr>
              <w:rFonts w:hint="default" w:ascii="Times New Roman" w:hAnsi="Times New Roman" w:eastAsia="黑体" w:cs="Times New Roman"/>
              <w:b/>
              <w:bCs w:val="0"/>
              <w:i w:val="0"/>
              <w:caps w:val="0"/>
              <w:color w:val="000000" w:themeColor="text1"/>
              <w:spacing w:val="0"/>
              <w:w w:val="100"/>
              <w:sz w:val="20"/>
              <w:szCs w:val="20"/>
              <w:highlight w:val="none"/>
              <w14:textFill>
                <w14:solidFill>
                  <w14:schemeClr w14:val="tx1"/>
                </w14:solidFill>
              </w14:textFill>
            </w:rPr>
            <w:instrText xml:space="preserve"> TOC \o "1-3" \h \z \u </w:instrText>
          </w:r>
          <w:r>
            <w:rPr>
              <w:rFonts w:hint="default" w:ascii="Times New Roman" w:hAnsi="Times New Roman" w:eastAsia="黑体" w:cs="Times New Roman"/>
              <w:b/>
              <w:bCs w:val="0"/>
              <w:i w:val="0"/>
              <w:caps w:val="0"/>
              <w:color w:val="000000" w:themeColor="text1"/>
              <w:spacing w:val="0"/>
              <w:w w:val="100"/>
              <w:sz w:val="20"/>
              <w:szCs w:val="20"/>
              <w:highlight w:val="none"/>
              <w14:textFill>
                <w14:solidFill>
                  <w14:schemeClr w14:val="tx1"/>
                </w14:solidFill>
              </w14:textFill>
            </w:rPr>
            <w:fldChar w:fldCharType="separate"/>
          </w:r>
          <w:r>
            <w:rPr>
              <w:rFonts w:hint="default" w:ascii="Times New Roman" w:hAnsi="Times New Roman" w:eastAsia="黑体" w:cs="Times New Roman"/>
              <w:bCs w:val="0"/>
              <w:i w:val="0"/>
              <w:caps w:val="0"/>
              <w:color w:val="000000" w:themeColor="text1"/>
              <w:spacing w:val="0"/>
              <w:w w:val="100"/>
              <w:sz w:val="20"/>
              <w:szCs w:val="20"/>
              <w:highlight w:val="none"/>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rPr>
            <w:instrText xml:space="preserve"> HYPERLINK \l _Toc12607 </w:instrText>
          </w:r>
          <w:r>
            <w:rPr>
              <w:rFonts w:hint="default" w:ascii="Times New Roman" w:hAnsi="Times New Roman" w:eastAsia="黑体" w:cs="Times New Roman"/>
              <w:bCs w:val="0"/>
              <w:i w:val="0"/>
              <w:caps w:val="0"/>
              <w:spacing w:val="0"/>
              <w:w w:val="100"/>
              <w:sz w:val="20"/>
              <w:szCs w:val="20"/>
              <w:highlight w:val="none"/>
            </w:rPr>
            <w:fldChar w:fldCharType="separate"/>
          </w:r>
          <w:r>
            <w:rPr>
              <w:rFonts w:hint="default" w:ascii="Times New Roman" w:hAnsi="Times New Roman" w:cs="Times New Roman"/>
              <w:i w:val="0"/>
              <w:caps w:val="0"/>
              <w:spacing w:val="0"/>
              <w:w w:val="100"/>
              <w:sz w:val="20"/>
              <w:szCs w:val="20"/>
              <w:highlight w:val="none"/>
              <w:lang w:val="zh-CN" w:bidi="zh-CN"/>
            </w:rPr>
            <w:t>1</w:t>
          </w:r>
          <w:r>
            <w:rPr>
              <w:rFonts w:hint="default" w:ascii="Times New Roman" w:hAnsi="Times New Roman" w:cs="Times New Roman"/>
              <w:i w:val="0"/>
              <w:caps w:val="0"/>
              <w:spacing w:val="0"/>
              <w:w w:val="100"/>
              <w:sz w:val="20"/>
              <w:szCs w:val="20"/>
              <w:highlight w:val="none"/>
            </w:rPr>
            <w:t>总则</w:t>
          </w:r>
          <w:r>
            <w:rPr>
              <w:sz w:val="20"/>
              <w:szCs w:val="20"/>
            </w:rPr>
            <w:tab/>
          </w:r>
          <w:r>
            <w:rPr>
              <w:sz w:val="20"/>
              <w:szCs w:val="20"/>
            </w:rPr>
            <w:fldChar w:fldCharType="begin"/>
          </w:r>
          <w:r>
            <w:rPr>
              <w:sz w:val="20"/>
              <w:szCs w:val="20"/>
            </w:rPr>
            <w:instrText xml:space="preserve"> PAGEREF _Toc12607 \h </w:instrText>
          </w:r>
          <w:r>
            <w:rPr>
              <w:sz w:val="20"/>
              <w:szCs w:val="20"/>
            </w:rPr>
            <w:fldChar w:fldCharType="separate"/>
          </w:r>
          <w:r>
            <w:rPr>
              <w:sz w:val="20"/>
              <w:szCs w:val="20"/>
            </w:rPr>
            <w:t>1</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14:textFill>
                <w14:solidFill>
                  <w14:schemeClr w14:val="tx1"/>
                </w14:solidFill>
              </w14:textFill>
            </w:rPr>
            <w:fldChar w:fldCharType="end"/>
          </w:r>
        </w:p>
        <w:p>
          <w:pPr>
            <w:pStyle w:val="12"/>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_Toc9002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zh-CN" w:eastAsia="zh-TW" w:bidi="zh-CN"/>
            </w:rPr>
            <w:t>2术语</w:t>
          </w:r>
          <w:r>
            <w:rPr>
              <w:sz w:val="20"/>
              <w:szCs w:val="20"/>
            </w:rPr>
            <w:tab/>
          </w:r>
          <w:r>
            <w:rPr>
              <w:sz w:val="20"/>
              <w:szCs w:val="20"/>
            </w:rPr>
            <w:fldChar w:fldCharType="begin"/>
          </w:r>
          <w:r>
            <w:rPr>
              <w:sz w:val="20"/>
              <w:szCs w:val="20"/>
            </w:rPr>
            <w:instrText xml:space="preserve"> PAGEREF _Toc9002 \h </w:instrText>
          </w:r>
          <w:r>
            <w:rPr>
              <w:sz w:val="20"/>
              <w:szCs w:val="20"/>
            </w:rPr>
            <w:fldChar w:fldCharType="separate"/>
          </w:r>
          <w:r>
            <w:rPr>
              <w:sz w:val="20"/>
              <w:szCs w:val="20"/>
            </w:rPr>
            <w:t>1</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2"/>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_Toc12361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zh-CN" w:eastAsia="zh-TW" w:bidi="zh-CN"/>
            </w:rPr>
            <w:t>3</w:t>
          </w:r>
          <w:r>
            <w:rPr>
              <w:rFonts w:hint="default" w:ascii="Times New Roman" w:hAnsi="Times New Roman" w:cs="Times New Roman"/>
              <w:i w:val="0"/>
              <w:caps w:val="0"/>
              <w:spacing w:val="0"/>
              <w:w w:val="100"/>
              <w:sz w:val="20"/>
              <w:szCs w:val="20"/>
              <w:highlight w:val="none"/>
              <w:lang w:val="en-US" w:eastAsia="zh-TW" w:bidi="zh-CN"/>
            </w:rPr>
            <w:t>基础规定</w:t>
          </w:r>
          <w:r>
            <w:rPr>
              <w:sz w:val="20"/>
              <w:szCs w:val="20"/>
            </w:rPr>
            <w:tab/>
          </w:r>
          <w:r>
            <w:rPr>
              <w:sz w:val="20"/>
              <w:szCs w:val="20"/>
            </w:rPr>
            <w:fldChar w:fldCharType="begin"/>
          </w:r>
          <w:r>
            <w:rPr>
              <w:sz w:val="20"/>
              <w:szCs w:val="20"/>
            </w:rPr>
            <w:instrText xml:space="preserve"> PAGEREF _Toc12361 \h </w:instrText>
          </w:r>
          <w:r>
            <w:rPr>
              <w:sz w:val="20"/>
              <w:szCs w:val="20"/>
            </w:rPr>
            <w:fldChar w:fldCharType="separate"/>
          </w:r>
          <w:r>
            <w:rPr>
              <w:sz w:val="20"/>
              <w:szCs w:val="20"/>
            </w:rPr>
            <w:t>3</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_Toc3259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en-US" w:eastAsia="zh-CN" w:bidi="en-US"/>
            </w:rPr>
            <w:t>3.1 一般规定</w:t>
          </w:r>
          <w:r>
            <w:rPr>
              <w:sz w:val="20"/>
              <w:szCs w:val="20"/>
            </w:rPr>
            <w:tab/>
          </w:r>
          <w:r>
            <w:rPr>
              <w:sz w:val="20"/>
              <w:szCs w:val="20"/>
            </w:rPr>
            <w:fldChar w:fldCharType="begin"/>
          </w:r>
          <w:r>
            <w:rPr>
              <w:sz w:val="20"/>
              <w:szCs w:val="20"/>
            </w:rPr>
            <w:instrText xml:space="preserve"> PAGEREF _Toc3259 \h </w:instrText>
          </w:r>
          <w:r>
            <w:rPr>
              <w:sz w:val="20"/>
              <w:szCs w:val="20"/>
            </w:rPr>
            <w:fldChar w:fldCharType="separate"/>
          </w:r>
          <w:r>
            <w:rPr>
              <w:sz w:val="20"/>
              <w:szCs w:val="20"/>
            </w:rPr>
            <w:t>3</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_Toc9896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en-US" w:eastAsia="zh-CN" w:bidi="en-US"/>
            </w:rPr>
            <w:t>3.2 硬件设施</w:t>
          </w:r>
          <w:r>
            <w:rPr>
              <w:sz w:val="20"/>
              <w:szCs w:val="20"/>
            </w:rPr>
            <w:tab/>
          </w:r>
          <w:r>
            <w:rPr>
              <w:sz w:val="20"/>
              <w:szCs w:val="20"/>
            </w:rPr>
            <w:fldChar w:fldCharType="begin"/>
          </w:r>
          <w:r>
            <w:rPr>
              <w:sz w:val="20"/>
              <w:szCs w:val="20"/>
            </w:rPr>
            <w:instrText xml:space="preserve"> PAGEREF _Toc9896 \h </w:instrText>
          </w:r>
          <w:r>
            <w:rPr>
              <w:sz w:val="20"/>
              <w:szCs w:val="20"/>
            </w:rPr>
            <w:fldChar w:fldCharType="separate"/>
          </w:r>
          <w:r>
            <w:rPr>
              <w:sz w:val="20"/>
              <w:szCs w:val="20"/>
            </w:rPr>
            <w:t>3</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_Toc23303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en-US" w:eastAsia="zh-CN" w:bidi="en-US"/>
            </w:rPr>
            <w:t>3.3 软件系统</w:t>
          </w:r>
          <w:r>
            <w:rPr>
              <w:sz w:val="20"/>
              <w:szCs w:val="20"/>
            </w:rPr>
            <w:tab/>
          </w:r>
          <w:r>
            <w:rPr>
              <w:sz w:val="20"/>
              <w:szCs w:val="20"/>
            </w:rPr>
            <w:fldChar w:fldCharType="begin"/>
          </w:r>
          <w:r>
            <w:rPr>
              <w:sz w:val="20"/>
              <w:szCs w:val="20"/>
            </w:rPr>
            <w:instrText xml:space="preserve"> PAGEREF _Toc23303 \h </w:instrText>
          </w:r>
          <w:r>
            <w:rPr>
              <w:sz w:val="20"/>
              <w:szCs w:val="20"/>
            </w:rPr>
            <w:fldChar w:fldCharType="separate"/>
          </w:r>
          <w:r>
            <w:rPr>
              <w:sz w:val="20"/>
              <w:szCs w:val="20"/>
            </w:rPr>
            <w:t>4</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_Toc18341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en-US" w:eastAsia="zh-CN" w:bidi="en-US"/>
            </w:rPr>
            <w:t>3.4信息安全</w:t>
          </w:r>
          <w:r>
            <w:rPr>
              <w:sz w:val="20"/>
              <w:szCs w:val="20"/>
            </w:rPr>
            <w:tab/>
          </w:r>
          <w:r>
            <w:rPr>
              <w:sz w:val="20"/>
              <w:szCs w:val="20"/>
            </w:rPr>
            <w:fldChar w:fldCharType="begin"/>
          </w:r>
          <w:r>
            <w:rPr>
              <w:sz w:val="20"/>
              <w:szCs w:val="20"/>
            </w:rPr>
            <w:instrText xml:space="preserve"> PAGEREF _Toc18341 \h </w:instrText>
          </w:r>
          <w:r>
            <w:rPr>
              <w:sz w:val="20"/>
              <w:szCs w:val="20"/>
            </w:rPr>
            <w:fldChar w:fldCharType="separate"/>
          </w:r>
          <w:r>
            <w:rPr>
              <w:sz w:val="20"/>
              <w:szCs w:val="20"/>
            </w:rPr>
            <w:t>4</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2"/>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_Toc29700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en-US" w:eastAsia="zh-TW" w:bidi="zh-CN"/>
            </w:rPr>
            <w:t>4销售管理</w:t>
          </w:r>
          <w:r>
            <w:rPr>
              <w:sz w:val="20"/>
              <w:szCs w:val="20"/>
            </w:rPr>
            <w:tab/>
          </w:r>
          <w:r>
            <w:rPr>
              <w:sz w:val="20"/>
              <w:szCs w:val="20"/>
            </w:rPr>
            <w:fldChar w:fldCharType="begin"/>
          </w:r>
          <w:r>
            <w:rPr>
              <w:sz w:val="20"/>
              <w:szCs w:val="20"/>
            </w:rPr>
            <w:instrText xml:space="preserve"> PAGEREF _Toc29700 \h </w:instrText>
          </w:r>
          <w:r>
            <w:rPr>
              <w:sz w:val="20"/>
              <w:szCs w:val="20"/>
            </w:rPr>
            <w:fldChar w:fldCharType="separate"/>
          </w:r>
          <w:r>
            <w:rPr>
              <w:sz w:val="20"/>
              <w:szCs w:val="20"/>
            </w:rPr>
            <w:t>6</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_Toc10734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en-US" w:eastAsia="zh-CN" w:bidi="en-US"/>
            </w:rPr>
            <w:t>4.1合同管理</w:t>
          </w:r>
          <w:r>
            <w:rPr>
              <w:sz w:val="20"/>
              <w:szCs w:val="20"/>
            </w:rPr>
            <w:tab/>
          </w:r>
          <w:r>
            <w:rPr>
              <w:sz w:val="20"/>
              <w:szCs w:val="20"/>
            </w:rPr>
            <w:fldChar w:fldCharType="begin"/>
          </w:r>
          <w:r>
            <w:rPr>
              <w:sz w:val="20"/>
              <w:szCs w:val="20"/>
            </w:rPr>
            <w:instrText xml:space="preserve"> PAGEREF _Toc10734 \h </w:instrText>
          </w:r>
          <w:r>
            <w:rPr>
              <w:sz w:val="20"/>
              <w:szCs w:val="20"/>
            </w:rPr>
            <w:fldChar w:fldCharType="separate"/>
          </w:r>
          <w:r>
            <w:rPr>
              <w:sz w:val="20"/>
              <w:szCs w:val="20"/>
            </w:rPr>
            <w:t>6</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_Toc25102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en-US" w:eastAsia="zh-CN" w:bidi="en-US"/>
            </w:rPr>
            <w:t>4.2 客户服务</w:t>
          </w:r>
          <w:r>
            <w:rPr>
              <w:sz w:val="20"/>
              <w:szCs w:val="20"/>
            </w:rPr>
            <w:tab/>
          </w:r>
          <w:r>
            <w:rPr>
              <w:sz w:val="20"/>
              <w:szCs w:val="20"/>
            </w:rPr>
            <w:fldChar w:fldCharType="begin"/>
          </w:r>
          <w:r>
            <w:rPr>
              <w:sz w:val="20"/>
              <w:szCs w:val="20"/>
            </w:rPr>
            <w:instrText xml:space="preserve"> PAGEREF _Toc25102 \h </w:instrText>
          </w:r>
          <w:r>
            <w:rPr>
              <w:sz w:val="20"/>
              <w:szCs w:val="20"/>
            </w:rPr>
            <w:fldChar w:fldCharType="separate"/>
          </w:r>
          <w:r>
            <w:rPr>
              <w:sz w:val="20"/>
              <w:szCs w:val="20"/>
            </w:rPr>
            <w:t>6</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2"/>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_Toc19267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en-US" w:eastAsia="zh-TW" w:bidi="zh-CN"/>
            </w:rPr>
            <w:t>5物资管理</w:t>
          </w:r>
          <w:r>
            <w:rPr>
              <w:sz w:val="20"/>
              <w:szCs w:val="20"/>
            </w:rPr>
            <w:tab/>
          </w:r>
          <w:r>
            <w:rPr>
              <w:sz w:val="20"/>
              <w:szCs w:val="20"/>
            </w:rPr>
            <w:fldChar w:fldCharType="begin"/>
          </w:r>
          <w:r>
            <w:rPr>
              <w:sz w:val="20"/>
              <w:szCs w:val="20"/>
            </w:rPr>
            <w:instrText xml:space="preserve"> PAGEREF _Toc19267 \h </w:instrText>
          </w:r>
          <w:r>
            <w:rPr>
              <w:sz w:val="20"/>
              <w:szCs w:val="20"/>
            </w:rPr>
            <w:fldChar w:fldCharType="separate"/>
          </w:r>
          <w:r>
            <w:rPr>
              <w:sz w:val="20"/>
              <w:szCs w:val="20"/>
            </w:rPr>
            <w:t>8</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_Toc15699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en-US" w:eastAsia="zh-CN" w:bidi="en-US"/>
            </w:rPr>
            <w:t>5.1原材采购</w:t>
          </w:r>
          <w:r>
            <w:rPr>
              <w:sz w:val="20"/>
              <w:szCs w:val="20"/>
            </w:rPr>
            <w:tab/>
          </w:r>
          <w:r>
            <w:rPr>
              <w:sz w:val="20"/>
              <w:szCs w:val="20"/>
            </w:rPr>
            <w:fldChar w:fldCharType="begin"/>
          </w:r>
          <w:r>
            <w:rPr>
              <w:sz w:val="20"/>
              <w:szCs w:val="20"/>
            </w:rPr>
            <w:instrText xml:space="preserve"> PAGEREF _Toc15699 \h </w:instrText>
          </w:r>
          <w:r>
            <w:rPr>
              <w:sz w:val="20"/>
              <w:szCs w:val="20"/>
            </w:rPr>
            <w:fldChar w:fldCharType="separate"/>
          </w:r>
          <w:r>
            <w:rPr>
              <w:sz w:val="20"/>
              <w:szCs w:val="20"/>
            </w:rPr>
            <w:t>8</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_Toc30408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en-US" w:eastAsia="zh-CN" w:bidi="en-US"/>
            </w:rPr>
            <w:t>5.2原材入库</w:t>
          </w:r>
          <w:r>
            <w:rPr>
              <w:sz w:val="20"/>
              <w:szCs w:val="20"/>
            </w:rPr>
            <w:tab/>
          </w:r>
          <w:r>
            <w:rPr>
              <w:sz w:val="20"/>
              <w:szCs w:val="20"/>
            </w:rPr>
            <w:fldChar w:fldCharType="begin"/>
          </w:r>
          <w:r>
            <w:rPr>
              <w:sz w:val="20"/>
              <w:szCs w:val="20"/>
            </w:rPr>
            <w:instrText xml:space="preserve"> PAGEREF _Toc30408 \h </w:instrText>
          </w:r>
          <w:r>
            <w:rPr>
              <w:sz w:val="20"/>
              <w:szCs w:val="20"/>
            </w:rPr>
            <w:fldChar w:fldCharType="separate"/>
          </w:r>
          <w:r>
            <w:rPr>
              <w:sz w:val="20"/>
              <w:szCs w:val="20"/>
            </w:rPr>
            <w:t>8</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_Toc4458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en-US" w:eastAsia="zh-CN" w:bidi="en-US"/>
            </w:rPr>
            <w:t>5.3原材库存</w:t>
          </w:r>
          <w:r>
            <w:rPr>
              <w:sz w:val="20"/>
              <w:szCs w:val="20"/>
            </w:rPr>
            <w:tab/>
          </w:r>
          <w:r>
            <w:rPr>
              <w:sz w:val="20"/>
              <w:szCs w:val="20"/>
            </w:rPr>
            <w:fldChar w:fldCharType="begin"/>
          </w:r>
          <w:r>
            <w:rPr>
              <w:sz w:val="20"/>
              <w:szCs w:val="20"/>
            </w:rPr>
            <w:instrText xml:space="preserve"> PAGEREF _Toc4458 \h </w:instrText>
          </w:r>
          <w:r>
            <w:rPr>
              <w:sz w:val="20"/>
              <w:szCs w:val="20"/>
            </w:rPr>
            <w:fldChar w:fldCharType="separate"/>
          </w:r>
          <w:r>
            <w:rPr>
              <w:sz w:val="20"/>
              <w:szCs w:val="20"/>
            </w:rPr>
            <w:t>9</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2"/>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_Toc19120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en-US" w:eastAsia="zh-TW" w:bidi="zh-CN"/>
            </w:rPr>
            <w:t>6生产管理</w:t>
          </w:r>
          <w:r>
            <w:rPr>
              <w:sz w:val="20"/>
              <w:szCs w:val="20"/>
            </w:rPr>
            <w:tab/>
          </w:r>
          <w:r>
            <w:rPr>
              <w:sz w:val="20"/>
              <w:szCs w:val="20"/>
            </w:rPr>
            <w:fldChar w:fldCharType="begin"/>
          </w:r>
          <w:r>
            <w:rPr>
              <w:sz w:val="20"/>
              <w:szCs w:val="20"/>
            </w:rPr>
            <w:instrText xml:space="preserve"> PAGEREF _Toc19120 \h </w:instrText>
          </w:r>
          <w:r>
            <w:rPr>
              <w:sz w:val="20"/>
              <w:szCs w:val="20"/>
            </w:rPr>
            <w:fldChar w:fldCharType="separate"/>
          </w:r>
          <w:r>
            <w:rPr>
              <w:sz w:val="20"/>
              <w:szCs w:val="20"/>
            </w:rPr>
            <w:t>10</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_Toc10447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en-US" w:eastAsia="zh-CN" w:bidi="en-US"/>
            </w:rPr>
            <w:t>6.1生产组织</w:t>
          </w:r>
          <w:r>
            <w:rPr>
              <w:sz w:val="20"/>
              <w:szCs w:val="20"/>
            </w:rPr>
            <w:tab/>
          </w:r>
          <w:r>
            <w:rPr>
              <w:sz w:val="20"/>
              <w:szCs w:val="20"/>
            </w:rPr>
            <w:fldChar w:fldCharType="begin"/>
          </w:r>
          <w:r>
            <w:rPr>
              <w:sz w:val="20"/>
              <w:szCs w:val="20"/>
            </w:rPr>
            <w:instrText xml:space="preserve"> PAGEREF _Toc10447 \h </w:instrText>
          </w:r>
          <w:r>
            <w:rPr>
              <w:sz w:val="20"/>
              <w:szCs w:val="20"/>
            </w:rPr>
            <w:fldChar w:fldCharType="separate"/>
          </w:r>
          <w:r>
            <w:rPr>
              <w:sz w:val="20"/>
              <w:szCs w:val="20"/>
            </w:rPr>
            <w:t>10</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_Toc16464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en-US" w:eastAsia="zh-CN" w:bidi="en-US"/>
            </w:rPr>
            <w:t>6.2生产控制</w:t>
          </w:r>
          <w:r>
            <w:rPr>
              <w:sz w:val="20"/>
              <w:szCs w:val="20"/>
            </w:rPr>
            <w:tab/>
          </w:r>
          <w:r>
            <w:rPr>
              <w:sz w:val="20"/>
              <w:szCs w:val="20"/>
            </w:rPr>
            <w:fldChar w:fldCharType="begin"/>
          </w:r>
          <w:r>
            <w:rPr>
              <w:sz w:val="20"/>
              <w:szCs w:val="20"/>
            </w:rPr>
            <w:instrText xml:space="preserve"> PAGEREF _Toc16464 \h </w:instrText>
          </w:r>
          <w:r>
            <w:rPr>
              <w:sz w:val="20"/>
              <w:szCs w:val="20"/>
            </w:rPr>
            <w:fldChar w:fldCharType="separate"/>
          </w:r>
          <w:r>
            <w:rPr>
              <w:sz w:val="20"/>
              <w:szCs w:val="20"/>
            </w:rPr>
            <w:t>11</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_Toc13599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en-US" w:eastAsia="zh-CN" w:bidi="en-US"/>
            </w:rPr>
            <w:t>6.3运输交付</w:t>
          </w:r>
          <w:r>
            <w:rPr>
              <w:sz w:val="20"/>
              <w:szCs w:val="20"/>
            </w:rPr>
            <w:tab/>
          </w:r>
          <w:r>
            <w:rPr>
              <w:sz w:val="20"/>
              <w:szCs w:val="20"/>
            </w:rPr>
            <w:fldChar w:fldCharType="begin"/>
          </w:r>
          <w:r>
            <w:rPr>
              <w:sz w:val="20"/>
              <w:szCs w:val="20"/>
            </w:rPr>
            <w:instrText xml:space="preserve"> PAGEREF _Toc13599 \h </w:instrText>
          </w:r>
          <w:r>
            <w:rPr>
              <w:sz w:val="20"/>
              <w:szCs w:val="20"/>
            </w:rPr>
            <w:fldChar w:fldCharType="separate"/>
          </w:r>
          <w:r>
            <w:rPr>
              <w:sz w:val="20"/>
              <w:szCs w:val="20"/>
            </w:rPr>
            <w:t>11</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2"/>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_Toc29164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en-US" w:eastAsia="zh-TW" w:bidi="zh-CN"/>
            </w:rPr>
            <w:t>7环境与安全</w:t>
          </w:r>
          <w:r>
            <w:rPr>
              <w:sz w:val="20"/>
              <w:szCs w:val="20"/>
            </w:rPr>
            <w:tab/>
          </w:r>
          <w:r>
            <w:rPr>
              <w:sz w:val="20"/>
              <w:szCs w:val="20"/>
            </w:rPr>
            <w:fldChar w:fldCharType="begin"/>
          </w:r>
          <w:r>
            <w:rPr>
              <w:sz w:val="20"/>
              <w:szCs w:val="20"/>
            </w:rPr>
            <w:instrText xml:space="preserve"> PAGEREF _Toc29164 \h </w:instrText>
          </w:r>
          <w:r>
            <w:rPr>
              <w:sz w:val="20"/>
              <w:szCs w:val="20"/>
            </w:rPr>
            <w:fldChar w:fldCharType="separate"/>
          </w:r>
          <w:r>
            <w:rPr>
              <w:sz w:val="20"/>
              <w:szCs w:val="20"/>
            </w:rPr>
            <w:t>13</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_Toc16964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en-US" w:eastAsia="zh-CN" w:bidi="en-US"/>
            </w:rPr>
            <w:t>7.1环境管理</w:t>
          </w:r>
          <w:r>
            <w:rPr>
              <w:sz w:val="20"/>
              <w:szCs w:val="20"/>
            </w:rPr>
            <w:tab/>
          </w:r>
          <w:r>
            <w:rPr>
              <w:sz w:val="20"/>
              <w:szCs w:val="20"/>
            </w:rPr>
            <w:fldChar w:fldCharType="begin"/>
          </w:r>
          <w:r>
            <w:rPr>
              <w:sz w:val="20"/>
              <w:szCs w:val="20"/>
            </w:rPr>
            <w:instrText xml:space="preserve"> PAGEREF _Toc16964 \h </w:instrText>
          </w:r>
          <w:r>
            <w:rPr>
              <w:sz w:val="20"/>
              <w:szCs w:val="20"/>
            </w:rPr>
            <w:fldChar w:fldCharType="separate"/>
          </w:r>
          <w:r>
            <w:rPr>
              <w:sz w:val="20"/>
              <w:szCs w:val="20"/>
            </w:rPr>
            <w:t>13</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_Toc29620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en-US" w:eastAsia="zh-CN" w:bidi="en-US"/>
            </w:rPr>
            <w:t>7.2安全管理</w:t>
          </w:r>
          <w:r>
            <w:rPr>
              <w:sz w:val="20"/>
              <w:szCs w:val="20"/>
            </w:rPr>
            <w:tab/>
          </w:r>
          <w:r>
            <w:rPr>
              <w:sz w:val="20"/>
              <w:szCs w:val="20"/>
            </w:rPr>
            <w:fldChar w:fldCharType="begin"/>
          </w:r>
          <w:r>
            <w:rPr>
              <w:sz w:val="20"/>
              <w:szCs w:val="20"/>
            </w:rPr>
            <w:instrText xml:space="preserve"> PAGEREF _Toc29620 \h </w:instrText>
          </w:r>
          <w:r>
            <w:rPr>
              <w:sz w:val="20"/>
              <w:szCs w:val="20"/>
            </w:rPr>
            <w:fldChar w:fldCharType="separate"/>
          </w:r>
          <w:r>
            <w:rPr>
              <w:sz w:val="20"/>
              <w:szCs w:val="20"/>
            </w:rPr>
            <w:t>13</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2"/>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_Toc5104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en-US" w:eastAsia="zh-TW" w:bidi="zh-CN"/>
            </w:rPr>
            <w:t>8质量管理</w:t>
          </w:r>
          <w:r>
            <w:rPr>
              <w:sz w:val="20"/>
              <w:szCs w:val="20"/>
            </w:rPr>
            <w:tab/>
          </w:r>
          <w:r>
            <w:rPr>
              <w:sz w:val="20"/>
              <w:szCs w:val="20"/>
            </w:rPr>
            <w:fldChar w:fldCharType="begin"/>
          </w:r>
          <w:r>
            <w:rPr>
              <w:sz w:val="20"/>
              <w:szCs w:val="20"/>
            </w:rPr>
            <w:instrText xml:space="preserve"> PAGEREF _Toc5104 \h </w:instrText>
          </w:r>
          <w:r>
            <w:rPr>
              <w:sz w:val="20"/>
              <w:szCs w:val="20"/>
            </w:rPr>
            <w:fldChar w:fldCharType="separate"/>
          </w:r>
          <w:r>
            <w:rPr>
              <w:sz w:val="20"/>
              <w:szCs w:val="20"/>
            </w:rPr>
            <w:t>15</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_Toc451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en-US" w:eastAsia="zh-CN" w:bidi="en-US"/>
            </w:rPr>
            <w:t>8.1配合比管理</w:t>
          </w:r>
          <w:r>
            <w:rPr>
              <w:sz w:val="20"/>
              <w:szCs w:val="20"/>
            </w:rPr>
            <w:tab/>
          </w:r>
          <w:r>
            <w:rPr>
              <w:sz w:val="20"/>
              <w:szCs w:val="20"/>
            </w:rPr>
            <w:fldChar w:fldCharType="begin"/>
          </w:r>
          <w:r>
            <w:rPr>
              <w:sz w:val="20"/>
              <w:szCs w:val="20"/>
            </w:rPr>
            <w:instrText xml:space="preserve"> PAGEREF _Toc451 \h </w:instrText>
          </w:r>
          <w:r>
            <w:rPr>
              <w:sz w:val="20"/>
              <w:szCs w:val="20"/>
            </w:rPr>
            <w:fldChar w:fldCharType="separate"/>
          </w:r>
          <w:r>
            <w:rPr>
              <w:sz w:val="20"/>
              <w:szCs w:val="20"/>
            </w:rPr>
            <w:t>15</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_Toc18466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en-US" w:eastAsia="zh-CN" w:bidi="en-US"/>
            </w:rPr>
            <w:t>8.2原材料质量检测</w:t>
          </w:r>
          <w:r>
            <w:rPr>
              <w:sz w:val="20"/>
              <w:szCs w:val="20"/>
            </w:rPr>
            <w:tab/>
          </w:r>
          <w:r>
            <w:rPr>
              <w:sz w:val="20"/>
              <w:szCs w:val="20"/>
            </w:rPr>
            <w:fldChar w:fldCharType="begin"/>
          </w:r>
          <w:r>
            <w:rPr>
              <w:sz w:val="20"/>
              <w:szCs w:val="20"/>
            </w:rPr>
            <w:instrText xml:space="preserve"> PAGEREF _Toc18466 \h </w:instrText>
          </w:r>
          <w:r>
            <w:rPr>
              <w:sz w:val="20"/>
              <w:szCs w:val="20"/>
            </w:rPr>
            <w:fldChar w:fldCharType="separate"/>
          </w:r>
          <w:r>
            <w:rPr>
              <w:sz w:val="20"/>
              <w:szCs w:val="20"/>
            </w:rPr>
            <w:t>15</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_Toc4910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en-US" w:eastAsia="zh-CN" w:bidi="en-US"/>
            </w:rPr>
            <w:t>8</w:t>
          </w:r>
          <w:r>
            <w:rPr>
              <w:rFonts w:hint="default" w:ascii="Times New Roman" w:hAnsi="Times New Roman" w:cs="Times New Roman"/>
              <w:i w:val="0"/>
              <w:caps w:val="0"/>
              <w:spacing w:val="0"/>
              <w:w w:val="100"/>
              <w:sz w:val="20"/>
              <w:szCs w:val="20"/>
              <w:highlight w:val="none"/>
              <w:lang w:bidi="en-US"/>
            </w:rPr>
            <w:t>.</w:t>
          </w:r>
          <w:r>
            <w:rPr>
              <w:rFonts w:hint="default" w:ascii="Times New Roman" w:hAnsi="Times New Roman" w:cs="Times New Roman"/>
              <w:i w:val="0"/>
              <w:caps w:val="0"/>
              <w:spacing w:val="0"/>
              <w:w w:val="100"/>
              <w:sz w:val="20"/>
              <w:szCs w:val="20"/>
              <w:highlight w:val="none"/>
              <w:lang w:val="en-US" w:eastAsia="zh-CN" w:bidi="en-US"/>
            </w:rPr>
            <w:t>3混凝土质量检测</w:t>
          </w:r>
          <w:r>
            <w:rPr>
              <w:sz w:val="20"/>
              <w:szCs w:val="20"/>
            </w:rPr>
            <w:tab/>
          </w:r>
          <w:r>
            <w:rPr>
              <w:sz w:val="20"/>
              <w:szCs w:val="20"/>
            </w:rPr>
            <w:fldChar w:fldCharType="begin"/>
          </w:r>
          <w:r>
            <w:rPr>
              <w:sz w:val="20"/>
              <w:szCs w:val="20"/>
            </w:rPr>
            <w:instrText xml:space="preserve"> PAGEREF _Toc4910 \h </w:instrText>
          </w:r>
          <w:r>
            <w:rPr>
              <w:sz w:val="20"/>
              <w:szCs w:val="20"/>
            </w:rPr>
            <w:fldChar w:fldCharType="separate"/>
          </w:r>
          <w:r>
            <w:rPr>
              <w:sz w:val="20"/>
              <w:szCs w:val="20"/>
            </w:rPr>
            <w:t>16</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2"/>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_Toc11904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en-US" w:eastAsia="zh-CN" w:bidi="zh-CN"/>
            </w:rPr>
            <w:t>9  财务及报表</w:t>
          </w:r>
          <w:r>
            <w:rPr>
              <w:sz w:val="20"/>
              <w:szCs w:val="20"/>
            </w:rPr>
            <w:tab/>
          </w:r>
          <w:r>
            <w:rPr>
              <w:sz w:val="20"/>
              <w:szCs w:val="20"/>
            </w:rPr>
            <w:fldChar w:fldCharType="begin"/>
          </w:r>
          <w:r>
            <w:rPr>
              <w:sz w:val="20"/>
              <w:szCs w:val="20"/>
            </w:rPr>
            <w:instrText xml:space="preserve"> PAGEREF _Toc11904 \h </w:instrText>
          </w:r>
          <w:r>
            <w:rPr>
              <w:sz w:val="20"/>
              <w:szCs w:val="20"/>
            </w:rPr>
            <w:fldChar w:fldCharType="separate"/>
          </w:r>
          <w:r>
            <w:rPr>
              <w:sz w:val="20"/>
              <w:szCs w:val="20"/>
            </w:rPr>
            <w:t>17</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_Toc8794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en-US" w:eastAsia="zh-CN" w:bidi="en-US"/>
            </w:rPr>
            <w:t>9.1财务管理</w:t>
          </w:r>
          <w:r>
            <w:rPr>
              <w:sz w:val="20"/>
              <w:szCs w:val="20"/>
            </w:rPr>
            <w:tab/>
          </w:r>
          <w:r>
            <w:rPr>
              <w:sz w:val="20"/>
              <w:szCs w:val="20"/>
            </w:rPr>
            <w:fldChar w:fldCharType="begin"/>
          </w:r>
          <w:r>
            <w:rPr>
              <w:sz w:val="20"/>
              <w:szCs w:val="20"/>
            </w:rPr>
            <w:instrText xml:space="preserve"> PAGEREF _Toc8794 \h </w:instrText>
          </w:r>
          <w:r>
            <w:rPr>
              <w:sz w:val="20"/>
              <w:szCs w:val="20"/>
            </w:rPr>
            <w:fldChar w:fldCharType="separate"/>
          </w:r>
          <w:r>
            <w:rPr>
              <w:sz w:val="20"/>
              <w:szCs w:val="20"/>
            </w:rPr>
            <w:t>17</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_Toc969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en-US" w:eastAsia="zh-CN" w:bidi="en-US"/>
            </w:rPr>
            <w:t>9.2结算及报表管理</w:t>
          </w:r>
          <w:r>
            <w:rPr>
              <w:sz w:val="20"/>
              <w:szCs w:val="20"/>
            </w:rPr>
            <w:tab/>
          </w:r>
          <w:r>
            <w:rPr>
              <w:sz w:val="20"/>
              <w:szCs w:val="20"/>
            </w:rPr>
            <w:fldChar w:fldCharType="begin"/>
          </w:r>
          <w:r>
            <w:rPr>
              <w:sz w:val="20"/>
              <w:szCs w:val="20"/>
            </w:rPr>
            <w:instrText xml:space="preserve"> PAGEREF _Toc969 \h </w:instrText>
          </w:r>
          <w:r>
            <w:rPr>
              <w:sz w:val="20"/>
              <w:szCs w:val="20"/>
            </w:rPr>
            <w:fldChar w:fldCharType="separate"/>
          </w:r>
          <w:r>
            <w:rPr>
              <w:sz w:val="20"/>
              <w:szCs w:val="20"/>
            </w:rPr>
            <w:t>17</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2"/>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_Toc15670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en-US" w:eastAsia="zh-TW" w:bidi="zh-CN"/>
            </w:rPr>
            <w:t>10前沿技术</w:t>
          </w:r>
          <w:r>
            <w:rPr>
              <w:sz w:val="20"/>
              <w:szCs w:val="20"/>
            </w:rPr>
            <w:tab/>
          </w:r>
          <w:r>
            <w:rPr>
              <w:sz w:val="20"/>
              <w:szCs w:val="20"/>
            </w:rPr>
            <w:fldChar w:fldCharType="begin"/>
          </w:r>
          <w:r>
            <w:rPr>
              <w:sz w:val="20"/>
              <w:szCs w:val="20"/>
            </w:rPr>
            <w:instrText xml:space="preserve"> PAGEREF _Toc15670 \h </w:instrText>
          </w:r>
          <w:r>
            <w:rPr>
              <w:sz w:val="20"/>
              <w:szCs w:val="20"/>
            </w:rPr>
            <w:fldChar w:fldCharType="separate"/>
          </w:r>
          <w:r>
            <w:rPr>
              <w:sz w:val="20"/>
              <w:szCs w:val="20"/>
            </w:rPr>
            <w:t>18</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_Toc31159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en-US" w:eastAsia="zh-CN" w:bidi="en-US"/>
            </w:rPr>
            <w:t>10.1工艺设计与优化</w:t>
          </w:r>
          <w:r>
            <w:rPr>
              <w:sz w:val="20"/>
              <w:szCs w:val="20"/>
            </w:rPr>
            <w:tab/>
          </w:r>
          <w:r>
            <w:rPr>
              <w:sz w:val="20"/>
              <w:szCs w:val="20"/>
            </w:rPr>
            <w:fldChar w:fldCharType="begin"/>
          </w:r>
          <w:r>
            <w:rPr>
              <w:sz w:val="20"/>
              <w:szCs w:val="20"/>
            </w:rPr>
            <w:instrText xml:space="preserve"> PAGEREF _Toc31159 \h </w:instrText>
          </w:r>
          <w:r>
            <w:rPr>
              <w:sz w:val="20"/>
              <w:szCs w:val="20"/>
            </w:rPr>
            <w:fldChar w:fldCharType="separate"/>
          </w:r>
          <w:r>
            <w:rPr>
              <w:sz w:val="20"/>
              <w:szCs w:val="20"/>
            </w:rPr>
            <w:t>18</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_Toc17417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en-US" w:eastAsia="zh-CN" w:bidi="en-US"/>
            </w:rPr>
            <w:t>10.2 智能协同</w:t>
          </w:r>
          <w:r>
            <w:rPr>
              <w:sz w:val="20"/>
              <w:szCs w:val="20"/>
            </w:rPr>
            <w:tab/>
          </w:r>
          <w:r>
            <w:rPr>
              <w:sz w:val="20"/>
              <w:szCs w:val="20"/>
            </w:rPr>
            <w:fldChar w:fldCharType="begin"/>
          </w:r>
          <w:r>
            <w:rPr>
              <w:sz w:val="20"/>
              <w:szCs w:val="20"/>
            </w:rPr>
            <w:instrText xml:space="preserve"> PAGEREF _Toc17417 \h </w:instrText>
          </w:r>
          <w:r>
            <w:rPr>
              <w:sz w:val="20"/>
              <w:szCs w:val="20"/>
            </w:rPr>
            <w:fldChar w:fldCharType="separate"/>
          </w:r>
          <w:r>
            <w:rPr>
              <w:sz w:val="20"/>
              <w:szCs w:val="20"/>
            </w:rPr>
            <w:t>18</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_Toc30467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en-US" w:eastAsia="zh-CN" w:bidi="en-US"/>
            </w:rPr>
            <w:t>10.3 客户服务</w:t>
          </w:r>
          <w:r>
            <w:rPr>
              <w:sz w:val="20"/>
              <w:szCs w:val="20"/>
            </w:rPr>
            <w:tab/>
          </w:r>
          <w:r>
            <w:rPr>
              <w:sz w:val="20"/>
              <w:szCs w:val="20"/>
            </w:rPr>
            <w:fldChar w:fldCharType="begin"/>
          </w:r>
          <w:r>
            <w:rPr>
              <w:sz w:val="20"/>
              <w:szCs w:val="20"/>
            </w:rPr>
            <w:instrText xml:space="preserve"> PAGEREF _Toc30467 \h </w:instrText>
          </w:r>
          <w:r>
            <w:rPr>
              <w:sz w:val="20"/>
              <w:szCs w:val="20"/>
            </w:rPr>
            <w:fldChar w:fldCharType="separate"/>
          </w:r>
          <w:r>
            <w:rPr>
              <w:sz w:val="20"/>
              <w:szCs w:val="20"/>
            </w:rPr>
            <w:t>18</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_Toc13302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en-US" w:eastAsia="zh-CN" w:bidi="en-US"/>
            </w:rPr>
            <w:t>10.4监控与预警</w:t>
          </w:r>
          <w:r>
            <w:rPr>
              <w:sz w:val="20"/>
              <w:szCs w:val="20"/>
            </w:rPr>
            <w:tab/>
          </w:r>
          <w:r>
            <w:rPr>
              <w:sz w:val="20"/>
              <w:szCs w:val="20"/>
            </w:rPr>
            <w:fldChar w:fldCharType="begin"/>
          </w:r>
          <w:r>
            <w:rPr>
              <w:sz w:val="20"/>
              <w:szCs w:val="20"/>
            </w:rPr>
            <w:instrText xml:space="preserve"> PAGEREF _Toc13302 \h </w:instrText>
          </w:r>
          <w:r>
            <w:rPr>
              <w:sz w:val="20"/>
              <w:szCs w:val="20"/>
            </w:rPr>
            <w:fldChar w:fldCharType="separate"/>
          </w:r>
          <w:r>
            <w:rPr>
              <w:sz w:val="20"/>
              <w:szCs w:val="20"/>
            </w:rPr>
            <w:t>18</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_Toc6247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en-US" w:eastAsia="zh-CN" w:bidi="en-US"/>
            </w:rPr>
            <w:t>10.5智能仓储及物流</w:t>
          </w:r>
          <w:r>
            <w:rPr>
              <w:sz w:val="20"/>
              <w:szCs w:val="20"/>
            </w:rPr>
            <w:tab/>
          </w:r>
          <w:r>
            <w:rPr>
              <w:sz w:val="20"/>
              <w:szCs w:val="20"/>
            </w:rPr>
            <w:fldChar w:fldCharType="begin"/>
          </w:r>
          <w:r>
            <w:rPr>
              <w:sz w:val="20"/>
              <w:szCs w:val="20"/>
            </w:rPr>
            <w:instrText xml:space="preserve"> PAGEREF _Toc6247 \h </w:instrText>
          </w:r>
          <w:r>
            <w:rPr>
              <w:sz w:val="20"/>
              <w:szCs w:val="20"/>
            </w:rPr>
            <w:fldChar w:fldCharType="separate"/>
          </w:r>
          <w:r>
            <w:rPr>
              <w:sz w:val="20"/>
              <w:szCs w:val="20"/>
            </w:rPr>
            <w:t>19</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_Toc616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en-US" w:eastAsia="zh-CN" w:bidi="en-US"/>
            </w:rPr>
            <w:t>10.6 智能化办公与决策支持</w:t>
          </w:r>
          <w:r>
            <w:rPr>
              <w:sz w:val="20"/>
              <w:szCs w:val="20"/>
            </w:rPr>
            <w:tab/>
          </w:r>
          <w:r>
            <w:rPr>
              <w:sz w:val="20"/>
              <w:szCs w:val="20"/>
            </w:rPr>
            <w:fldChar w:fldCharType="begin"/>
          </w:r>
          <w:r>
            <w:rPr>
              <w:sz w:val="20"/>
              <w:szCs w:val="20"/>
            </w:rPr>
            <w:instrText xml:space="preserve"> PAGEREF _Toc616 \h </w:instrText>
          </w:r>
          <w:r>
            <w:rPr>
              <w:sz w:val="20"/>
              <w:szCs w:val="20"/>
            </w:rPr>
            <w:fldChar w:fldCharType="separate"/>
          </w:r>
          <w:r>
            <w:rPr>
              <w:sz w:val="20"/>
              <w:szCs w:val="20"/>
            </w:rPr>
            <w:t>19</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2"/>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_Toc722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en-US" w:eastAsia="zh-TW" w:bidi="zh-CN"/>
            </w:rPr>
            <w:t>11分类评价</w:t>
          </w:r>
          <w:r>
            <w:rPr>
              <w:sz w:val="20"/>
              <w:szCs w:val="20"/>
            </w:rPr>
            <w:tab/>
          </w:r>
          <w:r>
            <w:rPr>
              <w:sz w:val="20"/>
              <w:szCs w:val="20"/>
            </w:rPr>
            <w:fldChar w:fldCharType="begin"/>
          </w:r>
          <w:r>
            <w:rPr>
              <w:sz w:val="20"/>
              <w:szCs w:val="20"/>
            </w:rPr>
            <w:instrText xml:space="preserve"> PAGEREF _Toc722 \h </w:instrText>
          </w:r>
          <w:r>
            <w:rPr>
              <w:sz w:val="20"/>
              <w:szCs w:val="20"/>
            </w:rPr>
            <w:fldChar w:fldCharType="separate"/>
          </w:r>
          <w:r>
            <w:rPr>
              <w:sz w:val="20"/>
              <w:szCs w:val="20"/>
            </w:rPr>
            <w:t>20</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2"/>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_Toc30974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sz w:val="20"/>
              <w:szCs w:val="20"/>
              <w:highlight w:val="none"/>
              <w:lang w:val="en-US" w:eastAsia="zh-CN"/>
            </w:rPr>
            <w:t>附录A《武汉市预拌混凝土厂站智能化技术导则》分级评价表</w:t>
          </w:r>
          <w:r>
            <w:rPr>
              <w:sz w:val="20"/>
              <w:szCs w:val="20"/>
            </w:rPr>
            <w:tab/>
          </w:r>
          <w:r>
            <w:rPr>
              <w:sz w:val="20"/>
              <w:szCs w:val="20"/>
            </w:rPr>
            <w:fldChar w:fldCharType="begin"/>
          </w:r>
          <w:r>
            <w:rPr>
              <w:sz w:val="20"/>
              <w:szCs w:val="20"/>
            </w:rPr>
            <w:instrText xml:space="preserve"> PAGEREF _Toc30974 \h </w:instrText>
          </w:r>
          <w:r>
            <w:rPr>
              <w:sz w:val="20"/>
              <w:szCs w:val="20"/>
            </w:rPr>
            <w:fldChar w:fldCharType="separate"/>
          </w:r>
          <w:r>
            <w:rPr>
              <w:sz w:val="20"/>
              <w:szCs w:val="20"/>
            </w:rPr>
            <w:t>22</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2"/>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_Toc22576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sz w:val="20"/>
              <w:szCs w:val="20"/>
              <w:highlight w:val="none"/>
              <w:lang w:val="en-US" w:eastAsia="zh-CN"/>
            </w:rPr>
            <w:t>附录B《武汉市预拌混凝土厂站智能化技术导则》</w:t>
          </w:r>
          <w:r>
            <w:rPr>
              <w:rFonts w:hint="eastAsia" w:ascii="Times New Roman" w:hAnsi="Times New Roman" w:cs="Times New Roman"/>
              <w:sz w:val="20"/>
              <w:szCs w:val="20"/>
              <w:highlight w:val="none"/>
              <w:lang w:val="en-US" w:eastAsia="zh-CN"/>
            </w:rPr>
            <w:t>设备及软件目录</w:t>
          </w:r>
          <w:r>
            <w:rPr>
              <w:sz w:val="20"/>
              <w:szCs w:val="20"/>
            </w:rPr>
            <w:tab/>
          </w:r>
          <w:r>
            <w:rPr>
              <w:sz w:val="20"/>
              <w:szCs w:val="20"/>
            </w:rPr>
            <w:fldChar w:fldCharType="begin"/>
          </w:r>
          <w:r>
            <w:rPr>
              <w:sz w:val="20"/>
              <w:szCs w:val="20"/>
            </w:rPr>
            <w:instrText xml:space="preserve"> PAGEREF _Toc22576 \h </w:instrText>
          </w:r>
          <w:r>
            <w:rPr>
              <w:sz w:val="20"/>
              <w:szCs w:val="20"/>
            </w:rPr>
            <w:fldChar w:fldCharType="separate"/>
          </w:r>
          <w:r>
            <w:rPr>
              <w:sz w:val="20"/>
              <w:szCs w:val="20"/>
            </w:rPr>
            <w:t>26</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2"/>
            <w:tabs>
              <w:tab w:val="right" w:leader="dot" w:pos="8907"/>
            </w:tabs>
            <w:rPr>
              <w:sz w:val="20"/>
              <w:szCs w:val="20"/>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_Toc15789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zh-CN" w:bidi="zh-CN"/>
            </w:rPr>
            <w:t>本导则用词说明</w:t>
          </w:r>
          <w:r>
            <w:rPr>
              <w:sz w:val="20"/>
              <w:szCs w:val="20"/>
            </w:rPr>
            <w:tab/>
          </w:r>
          <w:r>
            <w:rPr>
              <w:sz w:val="20"/>
              <w:szCs w:val="20"/>
            </w:rPr>
            <w:fldChar w:fldCharType="begin"/>
          </w:r>
          <w:r>
            <w:rPr>
              <w:sz w:val="20"/>
              <w:szCs w:val="20"/>
            </w:rPr>
            <w:instrText xml:space="preserve"> PAGEREF _Toc15789 \h </w:instrText>
          </w:r>
          <w:r>
            <w:rPr>
              <w:sz w:val="20"/>
              <w:szCs w:val="20"/>
            </w:rPr>
            <w:fldChar w:fldCharType="separate"/>
          </w:r>
          <w:r>
            <w:rPr>
              <w:sz w:val="20"/>
              <w:szCs w:val="20"/>
            </w:rPr>
            <w:t>28</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2"/>
            <w:tabs>
              <w:tab w:val="right" w:leader="dot" w:pos="8907"/>
            </w:tabs>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spacing w:val="0"/>
              <w:w w:val="100"/>
              <w:sz w:val="20"/>
              <w:szCs w:val="20"/>
              <w:highlight w:val="none"/>
              <w:lang w:val="zh-CN"/>
            </w:rPr>
            <w:instrText xml:space="preserve"> HYPERLINK \l _Toc27501 </w:instrText>
          </w:r>
          <w:r>
            <w:rPr>
              <w:rFonts w:hint="default" w:ascii="Times New Roman" w:hAnsi="Times New Roman" w:eastAsia="黑体" w:cs="Times New Roman"/>
              <w:bCs w:val="0"/>
              <w:i w:val="0"/>
              <w:caps w:val="0"/>
              <w:spacing w:val="0"/>
              <w:w w:val="100"/>
              <w:sz w:val="20"/>
              <w:szCs w:val="20"/>
              <w:highlight w:val="none"/>
              <w:lang w:val="zh-CN"/>
            </w:rPr>
            <w:fldChar w:fldCharType="separate"/>
          </w:r>
          <w:r>
            <w:rPr>
              <w:rFonts w:hint="default" w:ascii="Times New Roman" w:hAnsi="Times New Roman" w:cs="Times New Roman"/>
              <w:i w:val="0"/>
              <w:caps w:val="0"/>
              <w:spacing w:val="0"/>
              <w:w w:val="100"/>
              <w:sz w:val="20"/>
              <w:szCs w:val="20"/>
              <w:highlight w:val="none"/>
              <w:lang w:val="zh-CN" w:bidi="zh-CN"/>
            </w:rPr>
            <w:t>引用标准名录</w:t>
          </w:r>
          <w:r>
            <w:rPr>
              <w:sz w:val="20"/>
              <w:szCs w:val="20"/>
            </w:rPr>
            <w:tab/>
          </w:r>
          <w:r>
            <w:rPr>
              <w:sz w:val="20"/>
              <w:szCs w:val="20"/>
            </w:rPr>
            <w:fldChar w:fldCharType="begin"/>
          </w:r>
          <w:r>
            <w:rPr>
              <w:sz w:val="20"/>
              <w:szCs w:val="20"/>
            </w:rPr>
            <w:instrText xml:space="preserve"> PAGEREF _Toc27501 \h </w:instrText>
          </w:r>
          <w:r>
            <w:rPr>
              <w:sz w:val="20"/>
              <w:szCs w:val="20"/>
            </w:rPr>
            <w:fldChar w:fldCharType="separate"/>
          </w:r>
          <w:r>
            <w:rPr>
              <w:sz w:val="20"/>
              <w:szCs w:val="20"/>
            </w:rPr>
            <w:t>29</w:t>
          </w:r>
          <w:r>
            <w:rPr>
              <w:sz w:val="20"/>
              <w:szCs w:val="20"/>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textAlignment w:val="baseline"/>
            <w:rPr>
              <w:rFonts w:hint="default" w:ascii="Times New Roman" w:hAnsi="Times New Roman" w:cs="Times New Roman"/>
              <w:b/>
              <w:bCs w:val="0"/>
              <w:i w:val="0"/>
              <w:caps w:val="0"/>
              <w:color w:val="000000" w:themeColor="text1"/>
              <w:spacing w:val="0"/>
              <w:w w:val="100"/>
              <w:sz w:val="20"/>
              <w:szCs w:val="20"/>
              <w:highlight w:val="none"/>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Cs w:val="20"/>
              <w:highlight w:val="none"/>
              <w:lang w:val="zh-CN"/>
              <w14:textFill>
                <w14:solidFill>
                  <w14:schemeClr w14:val="tx1"/>
                </w14:solidFill>
              </w14:textFill>
            </w:rPr>
            <w:fldChar w:fldCharType="end"/>
          </w:r>
        </w:p>
      </w:sdtContent>
    </w:sdt>
    <w:p>
      <w:pPr>
        <w:pStyle w:val="2"/>
        <w:snapToGrid w:val="0"/>
        <w:spacing w:before="340" w:beforeAutospacing="0" w:after="330" w:afterAutospacing="0" w:line="360" w:lineRule="auto"/>
        <w:jc w:val="center"/>
        <w:textAlignment w:val="baseline"/>
        <w:rPr>
          <w:rFonts w:hint="default" w:ascii="Times New Roman" w:hAnsi="Times New Roman" w:cs="Times New Roman"/>
          <w:b w:val="0"/>
          <w:i w:val="0"/>
          <w:caps w:val="0"/>
          <w:color w:val="000000" w:themeColor="text1"/>
          <w:spacing w:val="0"/>
          <w:w w:val="100"/>
          <w:sz w:val="20"/>
          <w:szCs w:val="20"/>
          <w:highlight w:val="none"/>
          <w:lang w:val="zh-CN" w:bidi="zh-CN"/>
          <w14:textFill>
            <w14:solidFill>
              <w14:schemeClr w14:val="tx1"/>
            </w14:solidFill>
          </w14:textFill>
        </w:rPr>
        <w:sectPr>
          <w:footerReference r:id="rId7" w:type="default"/>
          <w:pgSz w:w="11900" w:h="16840"/>
          <w:pgMar w:top="1463" w:right="1264" w:bottom="1939" w:left="1729" w:header="1032" w:footer="850" w:gutter="0"/>
          <w:pgNumType w:fmt="decimal"/>
          <w:cols w:space="0" w:num="1"/>
          <w:rtlGutter w:val="0"/>
          <w:docGrid w:linePitch="360" w:charSpace="0"/>
        </w:sectPr>
      </w:pPr>
      <w:bookmarkStart w:id="0" w:name="_Toc59121525"/>
      <w:bookmarkStart w:id="1" w:name="bookmark49"/>
      <w:bookmarkStart w:id="2" w:name="_Toc5408"/>
      <w:bookmarkStart w:id="3" w:name="_Toc2202"/>
      <w:bookmarkStart w:id="4" w:name="bookmark47"/>
    </w:p>
    <w:p>
      <w:pPr>
        <w:pStyle w:val="2"/>
        <w:snapToGrid w:val="0"/>
        <w:spacing w:before="340" w:beforeAutospacing="0" w:after="330" w:afterAutospacing="0" w:line="360" w:lineRule="auto"/>
        <w:jc w:val="center"/>
        <w:textAlignment w:val="baseline"/>
        <w:rPr>
          <w:rFonts w:hint="default" w:ascii="Times New Roman" w:hAnsi="Times New Roman" w:cs="Times New Roman"/>
          <w:b w:val="0"/>
          <w:i w:val="0"/>
          <w:caps w:val="0"/>
          <w:color w:val="000000" w:themeColor="text1"/>
          <w:spacing w:val="0"/>
          <w:w w:val="100"/>
          <w:sz w:val="28"/>
          <w:szCs w:val="28"/>
          <w:highlight w:val="none"/>
          <w14:textFill>
            <w14:solidFill>
              <w14:schemeClr w14:val="tx1"/>
            </w14:solidFill>
          </w14:textFill>
        </w:rPr>
      </w:pPr>
      <w:bookmarkStart w:id="5" w:name="_Toc12607"/>
      <w:r>
        <w:rPr>
          <w:rFonts w:hint="default" w:ascii="Times New Roman" w:hAnsi="Times New Roman" w:cs="Times New Roman"/>
          <w:b w:val="0"/>
          <w:i w:val="0"/>
          <w:caps w:val="0"/>
          <w:color w:val="000000" w:themeColor="text1"/>
          <w:spacing w:val="0"/>
          <w:w w:val="100"/>
          <w:sz w:val="28"/>
          <w:szCs w:val="28"/>
          <w:highlight w:val="none"/>
          <w:lang w:val="zh-CN" w:bidi="zh-CN"/>
          <w14:textFill>
            <w14:solidFill>
              <w14:schemeClr w14:val="tx1"/>
            </w14:solidFill>
          </w14:textFill>
        </w:rPr>
        <w:t>1</w:t>
      </w:r>
      <w:r>
        <w:rPr>
          <w:rFonts w:hint="default" w:ascii="Times New Roman" w:hAnsi="Times New Roman" w:cs="Times New Roman"/>
          <w:b w:val="0"/>
          <w:i w:val="0"/>
          <w:caps w:val="0"/>
          <w:color w:val="000000" w:themeColor="text1"/>
          <w:spacing w:val="0"/>
          <w:w w:val="100"/>
          <w:sz w:val="28"/>
          <w:szCs w:val="28"/>
          <w:highlight w:val="none"/>
          <w14:textFill>
            <w14:solidFill>
              <w14:schemeClr w14:val="tx1"/>
            </w14:solidFill>
          </w14:textFill>
        </w:rPr>
        <w:t>总则</w:t>
      </w:r>
      <w:bookmarkEnd w:id="0"/>
      <w:bookmarkEnd w:id="1"/>
      <w:bookmarkEnd w:id="2"/>
      <w:bookmarkEnd w:id="3"/>
      <w:bookmarkEnd w:id="4"/>
      <w:bookmarkEnd w:id="5"/>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bookmarkStart w:id="6" w:name="bookmark50"/>
      <w:bookmarkStart w:id="7" w:name="_Toc59121526"/>
      <w:bookmarkStart w:id="8" w:name="bookmark52"/>
      <w:bookmarkStart w:id="9" w:name="bookmark54"/>
      <w:bookmarkStart w:id="10" w:name="bookmark51"/>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1.1本导则指导混凝土企业开展</w:t>
      </w:r>
      <w:r>
        <w:rPr>
          <w:rFonts w:hint="default" w:ascii="Times New Roman" w:hAnsi="Times New Roman" w:cs="Times New Roman"/>
          <w:color w:val="000000" w:themeColor="text1"/>
          <w:highlight w:val="none"/>
          <w14:textFill>
            <w14:solidFill>
              <w14:schemeClr w14:val="tx1"/>
            </w14:solidFill>
          </w14:textFill>
        </w:rPr>
        <w:t>生产设备和工艺的智能化</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质量控制的智能化</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厂内安全监管的智能化</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业务流转的智能化</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管理效率评价的智能化</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，实现高效、环保、安全、节能生产，打造企业新质生产力，促进企业高质量发展。</w:t>
      </w:r>
      <w:bookmarkEnd w:id="6"/>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1.2</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本导则适用于</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武汉</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市行政区域内预拌混凝土的生产及运输</w:t>
      </w: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交付</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的管理。</w:t>
      </w:r>
    </w:p>
    <w:p>
      <w:pPr>
        <w:pStyle w:val="34"/>
        <w:snapToGrid w:val="0"/>
        <w:spacing w:before="0" w:beforeAutospacing="0" w:after="0" w:afterAutospacing="0" w:line="470" w:lineRule="exact"/>
        <w:textAlignment w:val="baseline"/>
        <w:rPr>
          <w:rFonts w:hint="default" w:ascii="Times New Roman" w:hAnsi="Times New Roman" w:eastAsia="宋体" w:cs="Times New Roman"/>
          <w:b w:val="0"/>
          <w:i w:val="0"/>
          <w:caps w:val="0"/>
          <w:color w:val="000000" w:themeColor="text1"/>
          <w:spacing w:val="0"/>
          <w:w w:val="100"/>
          <w:sz w:val="20"/>
          <w:highlight w:val="no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1.3</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预拌混凝土生产及运输</w:t>
      </w: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交付</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管理除执行本导则外，尚应遵守国家</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湖北省和</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武汉</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市现行有关标准及法规的规定。</w:t>
      </w:r>
    </w:p>
    <w:p>
      <w:pPr>
        <w:pStyle w:val="2"/>
        <w:snapToGrid w:val="0"/>
        <w:spacing w:before="340" w:beforeAutospacing="0" w:after="330" w:afterAutospacing="0" w:line="360" w:lineRule="auto"/>
        <w:jc w:val="center"/>
        <w:textAlignment w:val="baseline"/>
        <w:rPr>
          <w:rFonts w:hint="default" w:ascii="Times New Roman" w:hAnsi="Times New Roman" w:cs="Times New Roman"/>
          <w:b w:val="0"/>
          <w:i w:val="0"/>
          <w:caps w:val="0"/>
          <w:color w:val="000000" w:themeColor="text1"/>
          <w:spacing w:val="0"/>
          <w:w w:val="100"/>
          <w:sz w:val="28"/>
          <w:szCs w:val="28"/>
          <w:highlight w:val="none"/>
          <w:lang w:val="zh-CN" w:eastAsia="zh-TW" w:bidi="zh-CN"/>
          <w14:textFill>
            <w14:solidFill>
              <w14:schemeClr w14:val="tx1"/>
            </w14:solidFill>
          </w14:textFill>
        </w:rPr>
      </w:pPr>
      <w:bookmarkStart w:id="11" w:name="_Toc24860"/>
      <w:bookmarkStart w:id="12" w:name="_Toc9002"/>
      <w:bookmarkStart w:id="13" w:name="_Toc1801"/>
      <w:r>
        <w:rPr>
          <w:rFonts w:hint="default" w:ascii="Times New Roman" w:hAnsi="Times New Roman" w:cs="Times New Roman"/>
          <w:b w:val="0"/>
          <w:i w:val="0"/>
          <w:caps w:val="0"/>
          <w:color w:val="000000" w:themeColor="text1"/>
          <w:spacing w:val="0"/>
          <w:w w:val="100"/>
          <w:sz w:val="28"/>
          <w:szCs w:val="28"/>
          <w:highlight w:val="none"/>
          <w:lang w:val="zh-CN" w:eastAsia="zh-TW" w:bidi="zh-CN"/>
          <w14:textFill>
            <w14:solidFill>
              <w14:schemeClr w14:val="tx1"/>
            </w14:solidFill>
          </w14:textFill>
        </w:rPr>
        <w:t>2术语</w:t>
      </w:r>
      <w:bookmarkEnd w:id="7"/>
      <w:bookmarkEnd w:id="8"/>
      <w:bookmarkEnd w:id="9"/>
      <w:bookmarkEnd w:id="10"/>
      <w:bookmarkEnd w:id="11"/>
      <w:bookmarkEnd w:id="12"/>
      <w:bookmarkEnd w:id="13"/>
    </w:p>
    <w:p>
      <w:pPr>
        <w:rPr>
          <w:rFonts w:hint="default" w:ascii="Times New Roman" w:hAnsi="Times New Roman" w:eastAsia="宋体" w:cs="Times New Roman"/>
          <w:i w:val="0"/>
          <w:iCs w:val="0"/>
          <w:caps w:val="0"/>
          <w:color w:val="000000" w:themeColor="text1"/>
          <w:spacing w:val="0"/>
          <w:sz w:val="20"/>
          <w:szCs w:val="20"/>
          <w:highlight w:val="none"/>
          <w:shd w:val="clear"/>
          <w:lang w:val="en-US" w:eastAsia="zh-TW" w:bidi="en-US"/>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0"/>
          <w:szCs w:val="20"/>
          <w:highlight w:val="none"/>
          <w:shd w:val="clear"/>
          <w:lang w:val="en-US" w:eastAsia="zh-CN" w:bidi="en-US"/>
          <w14:textFill>
            <w14:solidFill>
              <w14:schemeClr w14:val="tx1"/>
            </w14:solidFill>
          </w14:textFill>
        </w:rPr>
        <w:t>2.1</w:t>
      </w:r>
      <w:r>
        <w:rPr>
          <w:rFonts w:hint="default" w:ascii="Times New Roman" w:hAnsi="Times New Roman" w:eastAsia="宋体" w:cs="Times New Roman"/>
          <w:i w:val="0"/>
          <w:iCs w:val="0"/>
          <w:caps w:val="0"/>
          <w:color w:val="000000" w:themeColor="text1"/>
          <w:spacing w:val="0"/>
          <w:sz w:val="20"/>
          <w:szCs w:val="20"/>
          <w:highlight w:val="none"/>
          <w:shd w:val="clear"/>
          <w:lang w:val="en-US" w:eastAsia="zh-TW" w:bidi="en-US"/>
          <w14:textFill>
            <w14:solidFill>
              <w14:schemeClr w14:val="tx1"/>
            </w14:solidFill>
          </w14:textFill>
        </w:rPr>
        <w:t xml:space="preserve">智能化厂站Intelligent Factory </w:t>
      </w:r>
    </w:p>
    <w:p>
      <w:pPr>
        <w:pStyle w:val="34"/>
        <w:snapToGrid w:val="0"/>
        <w:spacing w:before="0" w:beforeAutospacing="0" w:after="0" w:afterAutospacing="0" w:line="470" w:lineRule="exact"/>
        <w:textAlignment w:val="baseline"/>
        <w:rPr>
          <w:rFonts w:hint="default" w:ascii="Times New Roman" w:hAnsi="Times New Roman" w:eastAsia="宋体" w:cs="Times New Roman"/>
          <w:color w:val="auto"/>
          <w:sz w:val="20"/>
          <w:szCs w:val="20"/>
          <w:highlight w:val="none"/>
          <w:lang w:val="en-US" w:eastAsia="zh-CN" w:bidi="en-US"/>
        </w:rPr>
      </w:pPr>
      <w:r>
        <w:rPr>
          <w:rFonts w:hint="default" w:ascii="Times New Roman" w:hAnsi="Times New Roman" w:eastAsia="宋体" w:cs="Times New Roman"/>
          <w:i w:val="0"/>
          <w:iCs w:val="0"/>
          <w:caps w:val="0"/>
          <w:color w:val="auto"/>
          <w:spacing w:val="0"/>
          <w:sz w:val="20"/>
          <w:szCs w:val="20"/>
          <w:highlight w:val="none"/>
          <w:shd w:val="clear"/>
          <w:lang w:val="en-US" w:eastAsia="zh-TW" w:bidi="en-US"/>
        </w:rPr>
        <w:t>将混凝土生产与经营管理深度融合物联网、大数据、人工智能等现代信息技术，通过数字化技术优化产销流程，实现原材料入厂、生产及输送的全流程智能化，构建环境舒适的人性化厂站</w:t>
      </w:r>
      <w:r>
        <w:rPr>
          <w:rFonts w:hint="default" w:ascii="Times New Roman" w:hAnsi="Times New Roman" w:cs="Times New Roman"/>
          <w:i w:val="0"/>
          <w:iCs w:val="0"/>
          <w:caps w:val="0"/>
          <w:color w:val="auto"/>
          <w:spacing w:val="0"/>
          <w:sz w:val="20"/>
          <w:szCs w:val="20"/>
          <w:highlight w:val="none"/>
          <w:shd w:val="clear"/>
          <w:lang w:val="en-US" w:eastAsia="zh-CN" w:bidi="en-US"/>
        </w:rPr>
        <w:t>。</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bookmarkStart w:id="14" w:name="bookmark55"/>
      <w:bookmarkEnd w:id="14"/>
      <w:bookmarkStart w:id="15" w:name="bookmark59"/>
      <w:bookmarkStart w:id="16" w:name="_Toc59121527"/>
      <w:bookmarkStart w:id="17" w:name="bookmark60"/>
      <w:bookmarkStart w:id="18" w:name="bookmark62"/>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2.2预拌混凝土  Ready-mixed Concrete</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在搅拌站生产的、通过运输设备送至使用地点的、交付时为拌合物的混凝土。</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2.3企业资源计划  Enterprise Resource Planning</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pPr>
      <w:bookmarkStart w:id="19" w:name="bookmark56"/>
      <w:bookmarkEnd w:id="19"/>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简称ERP</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指</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建立在信息技术基础上，以系统化的管理思想，为企业决策层及员工提供决策运行手段的管理平台。</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strike w:val="0"/>
          <w:dstrike w:val="0"/>
          <w:color w:val="000000" w:themeColor="text1"/>
          <w:spacing w:val="0"/>
          <w:w w:val="100"/>
          <w:sz w:val="20"/>
          <w:highlight w:val="none"/>
          <w:lang w:val="en-US" w:eastAsia="zh-CN" w:bidi="en-US"/>
          <w14:textFill>
            <w14:solidFill>
              <w14:schemeClr w14:val="tx1"/>
            </w14:solidFill>
          </w14:textFill>
        </w:rPr>
      </w:pPr>
      <w:bookmarkStart w:id="20" w:name="bookmark57"/>
      <w:bookmarkEnd w:id="20"/>
      <w:bookmarkStart w:id="21" w:name="bookmark58"/>
      <w:bookmarkEnd w:id="21"/>
      <w:r>
        <w:rPr>
          <w:rFonts w:hint="default" w:ascii="Times New Roman" w:hAnsi="Times New Roman" w:cs="Times New Roman"/>
          <w:b w:val="0"/>
          <w:i w:val="0"/>
          <w:caps w:val="0"/>
          <w:strike w:val="0"/>
          <w:dstrike w:val="0"/>
          <w:color w:val="000000" w:themeColor="text1"/>
          <w:spacing w:val="0"/>
          <w:w w:val="100"/>
          <w:sz w:val="20"/>
          <w:highlight w:val="none"/>
          <w:lang w:val="en-US" w:eastAsia="zh-TW" w:bidi="en-US"/>
          <w14:textFill>
            <w14:solidFill>
              <w14:schemeClr w14:val="tx1"/>
            </w14:solidFill>
          </w14:textFill>
        </w:rPr>
        <w:t>2.</w:t>
      </w:r>
      <w:r>
        <w:rPr>
          <w:rFonts w:hint="default" w:ascii="Times New Roman" w:hAnsi="Times New Roman" w:cs="Times New Roman"/>
          <w:b w:val="0"/>
          <w:i w:val="0"/>
          <w:caps w:val="0"/>
          <w:strike w:val="0"/>
          <w:dstrike w:val="0"/>
          <w:color w:val="000000" w:themeColor="text1"/>
          <w:spacing w:val="0"/>
          <w:w w:val="100"/>
          <w:sz w:val="20"/>
          <w:highlight w:val="none"/>
          <w:lang w:val="en-US" w:eastAsia="zh-CN" w:bidi="en-US"/>
          <w14:textFill>
            <w14:solidFill>
              <w14:schemeClr w14:val="tx1"/>
            </w14:solidFill>
          </w14:textFill>
        </w:rPr>
        <w:t>4制造执行系统  Manufacturing Execution System</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strike w:val="0"/>
          <w:dstrike w:val="0"/>
          <w:color w:val="000000" w:themeColor="text1"/>
          <w:spacing w:val="0"/>
          <w:w w:val="100"/>
          <w:sz w:val="20"/>
          <w:highlight w:val="none"/>
          <w:lang w:val="en-US" w:eastAsia="zh-TW" w:bidi="en-US"/>
          <w14:textFill>
            <w14:solidFill>
              <w14:schemeClr w14:val="tx1"/>
            </w14:solidFill>
          </w14:textFill>
        </w:rPr>
      </w:pPr>
      <w:r>
        <w:rPr>
          <w:rFonts w:hint="default" w:ascii="Times New Roman" w:hAnsi="Times New Roman" w:cs="Times New Roman"/>
          <w:b w:val="0"/>
          <w:i w:val="0"/>
          <w:caps w:val="0"/>
          <w:strike w:val="0"/>
          <w:dstrike w:val="0"/>
          <w:color w:val="000000" w:themeColor="text1"/>
          <w:spacing w:val="0"/>
          <w:w w:val="100"/>
          <w:sz w:val="20"/>
          <w:highlight w:val="none"/>
          <w:lang w:val="en-US" w:eastAsia="zh-CN" w:bidi="en-US"/>
          <w14:textFill>
            <w14:solidFill>
              <w14:schemeClr w14:val="tx1"/>
            </w14:solidFill>
          </w14:textFill>
        </w:rPr>
        <w:t>简称MES</w:t>
      </w:r>
      <w:r>
        <w:rPr>
          <w:rFonts w:hint="default" w:ascii="Times New Roman" w:hAnsi="Times New Roman" w:cs="Times New Roman"/>
          <w:b w:val="0"/>
          <w:i w:val="0"/>
          <w:caps w:val="0"/>
          <w:strike w:val="0"/>
          <w:dstrike w:val="0"/>
          <w:color w:val="000000" w:themeColor="text1"/>
          <w:spacing w:val="0"/>
          <w:w w:val="100"/>
          <w:sz w:val="20"/>
          <w:highlight w:val="none"/>
          <w:lang w:val="en-US" w:eastAsia="zh-TW" w:bidi="en-US"/>
          <w14:textFill>
            <w14:solidFill>
              <w14:schemeClr w14:val="tx1"/>
            </w14:solidFill>
          </w14:textFill>
        </w:rPr>
        <w:t>，该系统能启动、指导、响应并向生产管理人员报告在线、实时生产活动的情况</w:t>
      </w:r>
      <w:r>
        <w:rPr>
          <w:rFonts w:hint="default" w:ascii="Times New Roman" w:hAnsi="Times New Roman" w:cs="Times New Roman"/>
          <w:b w:val="0"/>
          <w:i w:val="0"/>
          <w:caps w:val="0"/>
          <w:strike w:val="0"/>
          <w:dstrike w:val="0"/>
          <w:color w:val="000000" w:themeColor="text1"/>
          <w:spacing w:val="0"/>
          <w:w w:val="100"/>
          <w:sz w:val="20"/>
          <w:highlight w:val="none"/>
          <w:lang w:val="en-US" w:eastAsia="zh-CN" w:bidi="en-US"/>
          <w14:textFill>
            <w14:solidFill>
              <w14:schemeClr w14:val="tx1"/>
            </w14:solidFill>
          </w14:textFill>
        </w:rPr>
        <w:t>，</w:t>
      </w:r>
      <w:r>
        <w:rPr>
          <w:rFonts w:hint="default" w:ascii="Times New Roman" w:hAnsi="Times New Roman" w:cs="Times New Roman"/>
          <w:b w:val="0"/>
          <w:i w:val="0"/>
          <w:caps w:val="0"/>
          <w:strike w:val="0"/>
          <w:dstrike w:val="0"/>
          <w:color w:val="000000" w:themeColor="text1"/>
          <w:spacing w:val="0"/>
          <w:w w:val="100"/>
          <w:sz w:val="20"/>
          <w:highlight w:val="none"/>
          <w:lang w:val="en-US" w:eastAsia="zh-TW" w:bidi="en-US"/>
          <w14:textFill>
            <w14:solidFill>
              <w14:schemeClr w14:val="tx1"/>
            </w14:solidFill>
          </w14:textFill>
        </w:rPr>
        <w:t>辅助执行制造订单的活动。</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2</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质量</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fldChar w:fldCharType="begin"/>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instrText xml:space="preserve"> HYPERLINK "https://baike.baidu.com/item/%E7%AE%A1%E7%90%86%E7%B3%BB%E7%BB%9F/10991644?fromModule=lemma_inlink" \t "https://baike.baidu.com/item/%E8%B4%A8%E9%87%8F%E7%AE%A1%E7%90%86%E7%B3%BB%E7%BB%9F/_blank" </w:instrTex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fldChar w:fldCharType="separate"/>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管理系统</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fldChar w:fldCharType="end"/>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 xml:space="preserve">  </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Quality Management System</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简称QMS，</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指在质量方面指挥和控制组织的</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fldChar w:fldCharType="begin"/>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instrText xml:space="preserve"> HYPERLINK "https://baike.baidu.com/item/%E7%AE%A1%E7%90%86%E4%BD%93%E7%B3%BB/9703960?fromModule=lemma_inlink" \t "https://baike.baidu.com/item/_blank" </w:instrTex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fldChar w:fldCharType="separate"/>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管理体系</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fldChar w:fldCharType="end"/>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是组织内部建立的、为实现</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fldChar w:fldCharType="begin"/>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instrText xml:space="preserve"> HYPERLINK "https://baike.baidu.com/item/%E8%B4%A8%E9%87%8F%E7%9B%AE%E6%A0%87/9704002?fromModule=lemma_inlink" \t "https://baike.baidu.com/item/_blank" </w:instrTex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fldChar w:fldCharType="separate"/>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质量目标</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fldChar w:fldCharType="end"/>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所必需的、系统的质量</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fldChar w:fldCharType="begin"/>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instrText xml:space="preserve"> HYPERLINK "https://baike.baidu.com/item/%E7%AE%A1%E7%90%86%E6%A8%A1%E5%BC%8F/10595604?fromModule=lemma_inlink" \t "https://baike.baidu.com/item/_blank" </w:instrTex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fldChar w:fldCharType="separate"/>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管理模式</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fldChar w:fldCharType="end"/>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2.6高级计划与排程系统Advanced Planning System</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简称APS，它通过为流程和离散的混合模型同时解决顺序和调度的优化问题，从而对项目管理与项目制造解决关键链和成本时间最小化。</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2.7程序接口 Application Programming Interface</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简称API</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是指不同应用程序或系统之间交换数据的通信界面，使不同平台之间能够互相连接和交流，从而实现数据共享和应用集成。</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2.8数字孪生Digital Twin</w:t>
      </w:r>
    </w:p>
    <w:p>
      <w:pPr>
        <w:pStyle w:val="34"/>
        <w:snapToGrid w:val="0"/>
        <w:spacing w:before="0" w:beforeAutospacing="0" w:after="0" w:afterAutospacing="0" w:line="470" w:lineRule="exact"/>
        <w:jc w:val="both"/>
        <w:textAlignment w:val="baseline"/>
        <w:rPr>
          <w:rFonts w:hint="default" w:ascii="Times New Roman" w:hAnsi="Times New Roman" w:cs="Times New Roman"/>
          <w:b w:val="0"/>
          <w:i w:val="0"/>
          <w:caps w:val="0"/>
          <w:color w:val="auto"/>
          <w:spacing w:val="0"/>
          <w:w w:val="100"/>
          <w:sz w:val="20"/>
          <w:highlight w:val="none"/>
          <w:lang w:val="en-US" w:eastAsia="zh-TW" w:bidi="en-US"/>
        </w:rPr>
      </w:pPr>
      <w:r>
        <w:rPr>
          <w:rFonts w:hint="default" w:ascii="Times New Roman" w:hAnsi="Times New Roman" w:cs="Times New Roman"/>
          <w:b w:val="0"/>
          <w:i w:val="0"/>
          <w:caps w:val="0"/>
          <w:color w:val="auto"/>
          <w:spacing w:val="0"/>
          <w:w w:val="100"/>
          <w:sz w:val="20"/>
          <w:highlight w:val="none"/>
          <w:lang w:val="en-US" w:eastAsia="zh-CN" w:bidi="en-US"/>
        </w:rPr>
        <w:t>简称DT，</w:t>
      </w:r>
      <w:r>
        <w:rPr>
          <w:rFonts w:hint="default" w:ascii="Times New Roman" w:hAnsi="Times New Roman" w:cs="Times New Roman"/>
          <w:b w:val="0"/>
          <w:i w:val="0"/>
          <w:caps w:val="0"/>
          <w:color w:val="auto"/>
          <w:spacing w:val="0"/>
          <w:w w:val="100"/>
          <w:sz w:val="20"/>
          <w:highlight w:val="none"/>
          <w:lang w:val="en-US" w:eastAsia="zh-TW" w:bidi="en-US"/>
        </w:rPr>
        <w:t>是通过虚拟模型与实际数据的结合</w:t>
      </w:r>
      <w:r>
        <w:rPr>
          <w:rFonts w:hint="default" w:ascii="Times New Roman" w:hAnsi="Times New Roman" w:cs="Times New Roman"/>
          <w:b w:val="0"/>
          <w:i w:val="0"/>
          <w:caps w:val="0"/>
          <w:color w:val="auto"/>
          <w:spacing w:val="0"/>
          <w:w w:val="100"/>
          <w:sz w:val="20"/>
          <w:highlight w:val="none"/>
          <w:lang w:val="en-US" w:eastAsia="zh-CN" w:bidi="en-US"/>
        </w:rPr>
        <w:t>，</w:t>
      </w:r>
      <w:r>
        <w:rPr>
          <w:rFonts w:hint="default" w:ascii="Times New Roman" w:hAnsi="Times New Roman" w:cs="Times New Roman"/>
          <w:b w:val="0"/>
          <w:i w:val="0"/>
          <w:caps w:val="0"/>
          <w:color w:val="auto"/>
          <w:spacing w:val="0"/>
          <w:w w:val="100"/>
          <w:sz w:val="20"/>
          <w:highlight w:val="none"/>
          <w:lang w:val="en-US" w:eastAsia="zh-TW" w:bidi="en-US"/>
        </w:rPr>
        <w:t>将预拌混凝土厂站的生产全流程进行仿真建模，再结合大数据算法与IOT物联网技术应用，实现三维模型与业务数据、设备数据、监控数据实时互联互通</w:t>
      </w:r>
      <w:r>
        <w:rPr>
          <w:rFonts w:hint="default" w:ascii="Times New Roman" w:hAnsi="Times New Roman" w:cs="Times New Roman"/>
          <w:b w:val="0"/>
          <w:i w:val="0"/>
          <w:caps w:val="0"/>
          <w:color w:val="auto"/>
          <w:spacing w:val="0"/>
          <w:w w:val="100"/>
          <w:sz w:val="20"/>
          <w:highlight w:val="none"/>
          <w:lang w:val="en-US" w:eastAsia="zh-CN" w:bidi="en-US"/>
        </w:rPr>
        <w:t>，可帮</w:t>
      </w:r>
      <w:r>
        <w:rPr>
          <w:rFonts w:hint="default" w:ascii="Times New Roman" w:hAnsi="Times New Roman" w:cs="Times New Roman"/>
          <w:b w:val="0"/>
          <w:i w:val="0"/>
          <w:caps w:val="0"/>
          <w:color w:val="auto"/>
          <w:spacing w:val="0"/>
          <w:w w:val="100"/>
          <w:sz w:val="20"/>
          <w:highlight w:val="none"/>
          <w:lang w:val="en-US" w:eastAsia="zh-TW" w:bidi="en-US"/>
        </w:rPr>
        <w:t>助</w:t>
      </w:r>
      <w:r>
        <w:rPr>
          <w:rFonts w:hint="default" w:ascii="Times New Roman" w:hAnsi="Times New Roman" w:cs="Times New Roman"/>
          <w:b w:val="0"/>
          <w:i w:val="0"/>
          <w:caps w:val="0"/>
          <w:color w:val="auto"/>
          <w:spacing w:val="0"/>
          <w:w w:val="100"/>
          <w:sz w:val="20"/>
          <w:highlight w:val="none"/>
          <w:lang w:val="en-US" w:eastAsia="zh-CN" w:bidi="en-US"/>
        </w:rPr>
        <w:t>混凝土</w:t>
      </w:r>
      <w:r>
        <w:rPr>
          <w:rFonts w:hint="default" w:ascii="Times New Roman" w:hAnsi="Times New Roman" w:cs="Times New Roman"/>
          <w:b w:val="0"/>
          <w:i w:val="0"/>
          <w:caps w:val="0"/>
          <w:color w:val="auto"/>
          <w:spacing w:val="0"/>
          <w:w w:val="100"/>
          <w:sz w:val="20"/>
          <w:highlight w:val="none"/>
          <w:lang w:val="en-US" w:eastAsia="zh-TW" w:bidi="en-US"/>
        </w:rPr>
        <w:t>企业更好地理解和优化混凝土的研发、生产、运输和交付等</w:t>
      </w:r>
      <w:r>
        <w:rPr>
          <w:rFonts w:hint="default" w:ascii="Times New Roman" w:hAnsi="Times New Roman" w:cs="Times New Roman"/>
          <w:b w:val="0"/>
          <w:i w:val="0"/>
          <w:caps w:val="0"/>
          <w:color w:val="auto"/>
          <w:spacing w:val="0"/>
          <w:w w:val="100"/>
          <w:sz w:val="20"/>
          <w:highlight w:val="none"/>
          <w:lang w:val="en-US" w:eastAsia="zh-CN" w:bidi="en-US"/>
        </w:rPr>
        <w:t>各业务流程</w:t>
      </w:r>
      <w:r>
        <w:rPr>
          <w:rFonts w:hint="default" w:ascii="Times New Roman" w:hAnsi="Times New Roman" w:cs="Times New Roman"/>
          <w:b w:val="0"/>
          <w:i w:val="0"/>
          <w:caps w:val="0"/>
          <w:color w:val="auto"/>
          <w:spacing w:val="0"/>
          <w:w w:val="100"/>
          <w:sz w:val="20"/>
          <w:highlight w:val="none"/>
          <w:lang w:val="en-US" w:eastAsia="zh-TW" w:bidi="en-US"/>
        </w:rPr>
        <w:t>。</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auto"/>
          <w:spacing w:val="0"/>
          <w:w w:val="100"/>
          <w:sz w:val="20"/>
          <w:highlight w:val="none"/>
          <w:lang w:val="en-US" w:eastAsia="zh-CN" w:bidi="en-US"/>
        </w:rPr>
      </w:pPr>
      <w:r>
        <w:rPr>
          <w:rFonts w:hint="default" w:ascii="Times New Roman" w:hAnsi="Times New Roman" w:cs="Times New Roman"/>
          <w:b w:val="0"/>
          <w:i w:val="0"/>
          <w:caps w:val="0"/>
          <w:color w:val="auto"/>
          <w:spacing w:val="0"/>
          <w:w w:val="100"/>
          <w:sz w:val="20"/>
          <w:highlight w:val="none"/>
          <w:lang w:val="en-US" w:eastAsia="zh-CN" w:bidi="en-US"/>
        </w:rPr>
        <w:t>2.9客户关系管理Customer Relationship Management</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auto"/>
          <w:spacing w:val="0"/>
          <w:w w:val="100"/>
          <w:sz w:val="20"/>
          <w:highlight w:val="none"/>
          <w:lang w:val="en-US" w:eastAsia="zh-CN" w:bidi="en-US"/>
        </w:rPr>
      </w:pPr>
      <w:r>
        <w:rPr>
          <w:rFonts w:hint="default" w:ascii="Times New Roman" w:hAnsi="Times New Roman" w:cs="Times New Roman"/>
          <w:b w:val="0"/>
          <w:i w:val="0"/>
          <w:caps w:val="0"/>
          <w:color w:val="auto"/>
          <w:spacing w:val="0"/>
          <w:w w:val="100"/>
          <w:sz w:val="20"/>
          <w:highlight w:val="none"/>
          <w:lang w:val="en-US" w:eastAsia="zh-CN" w:bidi="en-US"/>
        </w:rPr>
        <w:t>简称CRM，是企业为提高</w:t>
      </w:r>
      <w:r>
        <w:rPr>
          <w:rFonts w:hint="default" w:ascii="Times New Roman" w:hAnsi="Times New Roman" w:cs="Times New Roman"/>
          <w:b w:val="0"/>
          <w:i w:val="0"/>
          <w:caps w:val="0"/>
          <w:color w:val="auto"/>
          <w:spacing w:val="0"/>
          <w:w w:val="100"/>
          <w:sz w:val="20"/>
          <w:highlight w:val="none"/>
          <w:lang w:val="en-US" w:eastAsia="zh-CN" w:bidi="en-US"/>
        </w:rPr>
        <w:fldChar w:fldCharType="begin"/>
      </w:r>
      <w:r>
        <w:rPr>
          <w:rFonts w:hint="default" w:ascii="Times New Roman" w:hAnsi="Times New Roman" w:cs="Times New Roman"/>
          <w:b w:val="0"/>
          <w:i w:val="0"/>
          <w:caps w:val="0"/>
          <w:color w:val="auto"/>
          <w:spacing w:val="0"/>
          <w:w w:val="100"/>
          <w:sz w:val="20"/>
          <w:highlight w:val="none"/>
          <w:lang w:val="en-US" w:eastAsia="zh-CN" w:bidi="en-US"/>
        </w:rPr>
        <w:instrText xml:space="preserve"> HYPERLINK "https://baike.baidu.com/item/%E6%A0%B8%E5%BF%83%E7%AB%9E%E4%BA%89%E5%8A%9B/2837274?fromModule=lemma_inlink" \t "https://baike.baidu.com/item/%E5%AE%A2%E6%88%B7%E5%85%B3%E7%B3%BB%E7%AE%A1%E7%90%86/_blank" </w:instrText>
      </w:r>
      <w:r>
        <w:rPr>
          <w:rFonts w:hint="default" w:ascii="Times New Roman" w:hAnsi="Times New Roman" w:cs="Times New Roman"/>
          <w:b w:val="0"/>
          <w:i w:val="0"/>
          <w:caps w:val="0"/>
          <w:color w:val="auto"/>
          <w:spacing w:val="0"/>
          <w:w w:val="100"/>
          <w:sz w:val="20"/>
          <w:highlight w:val="none"/>
          <w:lang w:val="en-US" w:eastAsia="zh-CN" w:bidi="en-US"/>
        </w:rPr>
        <w:fldChar w:fldCharType="separate"/>
      </w:r>
      <w:r>
        <w:rPr>
          <w:rFonts w:hint="default" w:ascii="Times New Roman" w:hAnsi="Times New Roman" w:cs="Times New Roman"/>
          <w:b w:val="0"/>
          <w:i w:val="0"/>
          <w:caps w:val="0"/>
          <w:color w:val="auto"/>
          <w:spacing w:val="0"/>
          <w:w w:val="100"/>
          <w:sz w:val="20"/>
          <w:highlight w:val="none"/>
          <w:lang w:val="en-US" w:eastAsia="zh-CN" w:bidi="en-US"/>
        </w:rPr>
        <w:t>核心竞争力</w:t>
      </w:r>
      <w:r>
        <w:rPr>
          <w:rFonts w:hint="default" w:ascii="Times New Roman" w:hAnsi="Times New Roman" w:cs="Times New Roman"/>
          <w:b w:val="0"/>
          <w:i w:val="0"/>
          <w:caps w:val="0"/>
          <w:color w:val="auto"/>
          <w:spacing w:val="0"/>
          <w:w w:val="100"/>
          <w:sz w:val="20"/>
          <w:highlight w:val="none"/>
          <w:lang w:val="en-US" w:eastAsia="zh-CN" w:bidi="en-US"/>
        </w:rPr>
        <w:fldChar w:fldCharType="end"/>
      </w:r>
      <w:r>
        <w:rPr>
          <w:rFonts w:hint="default" w:ascii="Times New Roman" w:hAnsi="Times New Roman" w:cs="Times New Roman"/>
          <w:b w:val="0"/>
          <w:i w:val="0"/>
          <w:caps w:val="0"/>
          <w:color w:val="auto"/>
          <w:spacing w:val="0"/>
          <w:w w:val="100"/>
          <w:sz w:val="20"/>
          <w:highlight w:val="none"/>
          <w:lang w:val="en-US" w:eastAsia="zh-CN" w:bidi="en-US"/>
        </w:rPr>
        <w:t>，利用相应的信息技术以及</w:t>
      </w:r>
      <w:r>
        <w:rPr>
          <w:rFonts w:hint="default" w:ascii="Times New Roman" w:hAnsi="Times New Roman" w:cs="Times New Roman"/>
          <w:b w:val="0"/>
          <w:i w:val="0"/>
          <w:caps w:val="0"/>
          <w:color w:val="auto"/>
          <w:spacing w:val="0"/>
          <w:w w:val="100"/>
          <w:sz w:val="20"/>
          <w:highlight w:val="none"/>
          <w:lang w:val="en-US" w:eastAsia="zh-CN" w:bidi="en-US"/>
        </w:rPr>
        <w:fldChar w:fldCharType="begin"/>
      </w:r>
      <w:r>
        <w:rPr>
          <w:rFonts w:hint="default" w:ascii="Times New Roman" w:hAnsi="Times New Roman" w:cs="Times New Roman"/>
          <w:b w:val="0"/>
          <w:i w:val="0"/>
          <w:caps w:val="0"/>
          <w:color w:val="auto"/>
          <w:spacing w:val="0"/>
          <w:w w:val="100"/>
          <w:sz w:val="20"/>
          <w:highlight w:val="none"/>
          <w:lang w:val="en-US" w:eastAsia="zh-CN" w:bidi="en-US"/>
        </w:rPr>
        <w:instrText xml:space="preserve"> HYPERLINK "https://baike.baidu.com/item/%E4%BA%92%E8%81%94%E7%BD%91%E6%8A%80%E6%9C%AF/617749?fromModule=lemma_inlink" \t "https://baike.baidu.com/item/%E5%AE%A2%E6%88%B7%E5%85%B3%E7%B3%BB%E7%AE%A1%E7%90%86/_blank" </w:instrText>
      </w:r>
      <w:r>
        <w:rPr>
          <w:rFonts w:hint="default" w:ascii="Times New Roman" w:hAnsi="Times New Roman" w:cs="Times New Roman"/>
          <w:b w:val="0"/>
          <w:i w:val="0"/>
          <w:caps w:val="0"/>
          <w:color w:val="auto"/>
          <w:spacing w:val="0"/>
          <w:w w:val="100"/>
          <w:sz w:val="20"/>
          <w:highlight w:val="none"/>
          <w:lang w:val="en-US" w:eastAsia="zh-CN" w:bidi="en-US"/>
        </w:rPr>
        <w:fldChar w:fldCharType="separate"/>
      </w:r>
      <w:r>
        <w:rPr>
          <w:rFonts w:hint="default" w:ascii="Times New Roman" w:hAnsi="Times New Roman" w:cs="Times New Roman"/>
          <w:b w:val="0"/>
          <w:i w:val="0"/>
          <w:caps w:val="0"/>
          <w:color w:val="auto"/>
          <w:spacing w:val="0"/>
          <w:w w:val="100"/>
          <w:sz w:val="20"/>
          <w:highlight w:val="none"/>
          <w:lang w:val="en-US" w:eastAsia="zh-CN" w:bidi="en-US"/>
        </w:rPr>
        <w:t>互联网技术</w:t>
      </w:r>
      <w:r>
        <w:rPr>
          <w:rFonts w:hint="default" w:ascii="Times New Roman" w:hAnsi="Times New Roman" w:cs="Times New Roman"/>
          <w:b w:val="0"/>
          <w:i w:val="0"/>
          <w:caps w:val="0"/>
          <w:color w:val="auto"/>
          <w:spacing w:val="0"/>
          <w:w w:val="100"/>
          <w:sz w:val="20"/>
          <w:highlight w:val="none"/>
          <w:lang w:val="en-US" w:eastAsia="zh-CN" w:bidi="en-US"/>
        </w:rPr>
        <w:fldChar w:fldCharType="end"/>
      </w:r>
      <w:r>
        <w:rPr>
          <w:rFonts w:hint="default" w:ascii="Times New Roman" w:hAnsi="Times New Roman" w:cs="Times New Roman"/>
          <w:b w:val="0"/>
          <w:i w:val="0"/>
          <w:caps w:val="0"/>
          <w:color w:val="auto"/>
          <w:spacing w:val="0"/>
          <w:w w:val="100"/>
          <w:sz w:val="20"/>
          <w:highlight w:val="none"/>
          <w:lang w:val="en-US" w:eastAsia="zh-CN" w:bidi="en-US"/>
        </w:rPr>
        <w:t>协调企业与顾客间在销售、营销和服务上的交互，从而提升其</w:t>
      </w:r>
      <w:r>
        <w:rPr>
          <w:rFonts w:hint="default" w:ascii="Times New Roman" w:hAnsi="Times New Roman" w:cs="Times New Roman"/>
          <w:b w:val="0"/>
          <w:i w:val="0"/>
          <w:caps w:val="0"/>
          <w:color w:val="auto"/>
          <w:spacing w:val="0"/>
          <w:w w:val="100"/>
          <w:sz w:val="20"/>
          <w:highlight w:val="none"/>
          <w:lang w:val="en-US" w:eastAsia="zh-CN" w:bidi="en-US"/>
        </w:rPr>
        <w:fldChar w:fldCharType="begin"/>
      </w:r>
      <w:r>
        <w:rPr>
          <w:rFonts w:hint="default" w:ascii="Times New Roman" w:hAnsi="Times New Roman" w:cs="Times New Roman"/>
          <w:b w:val="0"/>
          <w:i w:val="0"/>
          <w:caps w:val="0"/>
          <w:color w:val="auto"/>
          <w:spacing w:val="0"/>
          <w:w w:val="100"/>
          <w:sz w:val="20"/>
          <w:highlight w:val="none"/>
          <w:lang w:val="en-US" w:eastAsia="zh-CN" w:bidi="en-US"/>
        </w:rPr>
        <w:instrText xml:space="preserve"> HYPERLINK "https://baike.baidu.com/item/%E7%AE%A1%E7%90%86%E6%96%B9%E5%BC%8F/260899?fromModule=lemma_inlink" \t "https://baike.baidu.com/item/%E5%AE%A2%E6%88%B7%E5%85%B3%E7%B3%BB%E7%AE%A1%E7%90%86/_blank" </w:instrText>
      </w:r>
      <w:r>
        <w:rPr>
          <w:rFonts w:hint="default" w:ascii="Times New Roman" w:hAnsi="Times New Roman" w:cs="Times New Roman"/>
          <w:b w:val="0"/>
          <w:i w:val="0"/>
          <w:caps w:val="0"/>
          <w:color w:val="auto"/>
          <w:spacing w:val="0"/>
          <w:w w:val="100"/>
          <w:sz w:val="20"/>
          <w:highlight w:val="none"/>
          <w:lang w:val="en-US" w:eastAsia="zh-CN" w:bidi="en-US"/>
        </w:rPr>
        <w:fldChar w:fldCharType="separate"/>
      </w:r>
      <w:r>
        <w:rPr>
          <w:rFonts w:hint="default" w:ascii="Times New Roman" w:hAnsi="Times New Roman" w:cs="Times New Roman"/>
          <w:b w:val="0"/>
          <w:i w:val="0"/>
          <w:caps w:val="0"/>
          <w:color w:val="auto"/>
          <w:spacing w:val="0"/>
          <w:w w:val="100"/>
          <w:sz w:val="20"/>
          <w:highlight w:val="none"/>
          <w:lang w:val="en-US" w:eastAsia="zh-CN" w:bidi="en-US"/>
        </w:rPr>
        <w:t>管理方式</w:t>
      </w:r>
      <w:r>
        <w:rPr>
          <w:rFonts w:hint="default" w:ascii="Times New Roman" w:hAnsi="Times New Roman" w:cs="Times New Roman"/>
          <w:b w:val="0"/>
          <w:i w:val="0"/>
          <w:caps w:val="0"/>
          <w:color w:val="auto"/>
          <w:spacing w:val="0"/>
          <w:w w:val="100"/>
          <w:sz w:val="20"/>
          <w:highlight w:val="none"/>
          <w:lang w:val="en-US" w:eastAsia="zh-CN" w:bidi="en-US"/>
        </w:rPr>
        <w:fldChar w:fldCharType="end"/>
      </w:r>
      <w:r>
        <w:rPr>
          <w:rFonts w:hint="default" w:ascii="Times New Roman" w:hAnsi="Times New Roman" w:cs="Times New Roman"/>
          <w:b w:val="0"/>
          <w:i w:val="0"/>
          <w:caps w:val="0"/>
          <w:color w:val="auto"/>
          <w:spacing w:val="0"/>
          <w:w w:val="100"/>
          <w:sz w:val="20"/>
          <w:highlight w:val="none"/>
          <w:lang w:val="en-US" w:eastAsia="zh-CN" w:bidi="en-US"/>
        </w:rPr>
        <w:t>，向客户提供创新式的客户交互和客户服务，增加客户黏性。</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2.10射频识别技术Radio Frequency Identification</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简称RFID，是自动识别技术的一种，通过无线射频方式进行非接触双向数据通信，利用无线射频方式对记录媒体（电子标签或射频卡）进行读写，从而达到识别目标和数据交换的目的。</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auto"/>
          <w:spacing w:val="0"/>
          <w:w w:val="100"/>
          <w:sz w:val="20"/>
          <w:highlight w:val="none"/>
          <w:lang w:val="en-US" w:eastAsia="zh-TW" w:bidi="en-US"/>
        </w:rPr>
      </w:pPr>
      <w:r>
        <w:rPr>
          <w:rFonts w:hint="default" w:ascii="Times New Roman" w:hAnsi="Times New Roman" w:cs="Times New Roman"/>
          <w:b w:val="0"/>
          <w:i w:val="0"/>
          <w:caps w:val="0"/>
          <w:color w:val="auto"/>
          <w:spacing w:val="0"/>
          <w:w w:val="100"/>
          <w:sz w:val="20"/>
          <w:highlight w:val="none"/>
          <w:lang w:val="en-US" w:eastAsia="zh-CN" w:bidi="en-US"/>
        </w:rPr>
        <w:t xml:space="preserve">2.11 </w:t>
      </w:r>
      <w:bookmarkStart w:id="22" w:name="_Toc7857"/>
      <w:bookmarkStart w:id="23" w:name="_Toc27876"/>
      <w:r>
        <w:rPr>
          <w:rFonts w:hint="default" w:ascii="Times New Roman" w:hAnsi="Times New Roman" w:cs="Times New Roman"/>
          <w:b w:val="0"/>
          <w:i w:val="0"/>
          <w:caps w:val="0"/>
          <w:color w:val="auto"/>
          <w:spacing w:val="0"/>
          <w:w w:val="100"/>
          <w:sz w:val="20"/>
          <w:highlight w:val="none"/>
          <w:lang w:val="en-US" w:eastAsia="zh-TW" w:bidi="en-US"/>
        </w:rPr>
        <w:t xml:space="preserve">工业控制系统  </w:t>
      </w:r>
      <w:r>
        <w:rPr>
          <w:rFonts w:hint="default" w:ascii="Times New Roman" w:hAnsi="Times New Roman" w:cs="Times New Roman"/>
          <w:b w:val="0"/>
          <w:i w:val="0"/>
          <w:caps w:val="0"/>
          <w:color w:val="auto"/>
          <w:spacing w:val="0"/>
          <w:w w:val="100"/>
          <w:sz w:val="20"/>
          <w:highlight w:val="none"/>
          <w:lang w:val="en-US" w:eastAsia="zh-CN" w:bidi="en-US"/>
        </w:rPr>
        <w:t>I</w:t>
      </w:r>
      <w:r>
        <w:rPr>
          <w:rFonts w:hint="default" w:ascii="Times New Roman" w:hAnsi="Times New Roman" w:cs="Times New Roman"/>
          <w:b w:val="0"/>
          <w:i w:val="0"/>
          <w:caps w:val="0"/>
          <w:color w:val="auto"/>
          <w:spacing w:val="0"/>
          <w:w w:val="100"/>
          <w:sz w:val="20"/>
          <w:highlight w:val="none"/>
          <w:lang w:val="en-US" w:eastAsia="zh-TW" w:bidi="en-US"/>
        </w:rPr>
        <w:t xml:space="preserve">ndustrial </w:t>
      </w:r>
      <w:r>
        <w:rPr>
          <w:rFonts w:hint="default" w:ascii="Times New Roman" w:hAnsi="Times New Roman" w:cs="Times New Roman"/>
          <w:b w:val="0"/>
          <w:i w:val="0"/>
          <w:caps w:val="0"/>
          <w:color w:val="auto"/>
          <w:spacing w:val="0"/>
          <w:w w:val="100"/>
          <w:sz w:val="20"/>
          <w:highlight w:val="none"/>
          <w:lang w:val="en-US" w:eastAsia="zh-CN" w:bidi="en-US"/>
        </w:rPr>
        <w:t>C</w:t>
      </w:r>
      <w:r>
        <w:rPr>
          <w:rFonts w:hint="default" w:ascii="Times New Roman" w:hAnsi="Times New Roman" w:cs="Times New Roman"/>
          <w:b w:val="0"/>
          <w:i w:val="0"/>
          <w:caps w:val="0"/>
          <w:color w:val="auto"/>
          <w:spacing w:val="0"/>
          <w:w w:val="100"/>
          <w:sz w:val="20"/>
          <w:highlight w:val="none"/>
          <w:lang w:val="en-US" w:eastAsia="zh-TW" w:bidi="en-US"/>
        </w:rPr>
        <w:t xml:space="preserve">ontrol </w:t>
      </w:r>
      <w:r>
        <w:rPr>
          <w:rFonts w:hint="default" w:ascii="Times New Roman" w:hAnsi="Times New Roman" w:cs="Times New Roman"/>
          <w:b w:val="0"/>
          <w:i w:val="0"/>
          <w:caps w:val="0"/>
          <w:color w:val="auto"/>
          <w:spacing w:val="0"/>
          <w:w w:val="100"/>
          <w:sz w:val="20"/>
          <w:highlight w:val="none"/>
          <w:lang w:val="en-US" w:eastAsia="zh-CN" w:bidi="en-US"/>
        </w:rPr>
        <w:t>S</w:t>
      </w:r>
      <w:r>
        <w:rPr>
          <w:rFonts w:hint="default" w:ascii="Times New Roman" w:hAnsi="Times New Roman" w:cs="Times New Roman"/>
          <w:b w:val="0"/>
          <w:i w:val="0"/>
          <w:caps w:val="0"/>
          <w:color w:val="auto"/>
          <w:spacing w:val="0"/>
          <w:w w:val="100"/>
          <w:sz w:val="20"/>
          <w:highlight w:val="none"/>
          <w:lang w:val="en-US" w:eastAsia="zh-TW" w:bidi="en-US"/>
        </w:rPr>
        <w:t>ystem</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auto"/>
          <w:spacing w:val="0"/>
          <w:w w:val="100"/>
          <w:sz w:val="20"/>
          <w:highlight w:val="none"/>
          <w:lang w:val="en-US" w:eastAsia="zh-TW" w:bidi="en-US"/>
        </w:rPr>
      </w:pPr>
      <w:r>
        <w:rPr>
          <w:rFonts w:hint="default" w:ascii="Times New Roman" w:hAnsi="Times New Roman" w:cs="Times New Roman"/>
          <w:b w:val="0"/>
          <w:i w:val="0"/>
          <w:caps w:val="0"/>
          <w:color w:val="auto"/>
          <w:spacing w:val="0"/>
          <w:w w:val="100"/>
          <w:sz w:val="20"/>
          <w:highlight w:val="none"/>
          <w:lang w:val="en-US" w:eastAsia="zh-CN" w:bidi="en-US"/>
        </w:rPr>
        <w:t>简称ICS，是</w:t>
      </w:r>
      <w:r>
        <w:rPr>
          <w:rFonts w:hint="default" w:ascii="Times New Roman" w:hAnsi="Times New Roman" w:cs="Times New Roman"/>
          <w:b w:val="0"/>
          <w:i w:val="0"/>
          <w:caps w:val="0"/>
          <w:color w:val="auto"/>
          <w:spacing w:val="0"/>
          <w:w w:val="100"/>
          <w:sz w:val="20"/>
          <w:highlight w:val="none"/>
          <w:lang w:val="en-US" w:eastAsia="zh-TW" w:bidi="en-US"/>
        </w:rPr>
        <w:t>由各种自动化控制组件以及对实时数据进行采集、检测的过程控制组件共同构成的确保工业基础设施自动化运行、过程控制与监控的业务流程管控系统。</w:t>
      </w:r>
    </w:p>
    <w:p>
      <w:pPr>
        <w:rPr>
          <w:rFonts w:hint="default" w:ascii="Times New Roman" w:hAnsi="Times New Roman" w:cs="Times New Roman"/>
          <w:b w:val="0"/>
          <w:i w:val="0"/>
          <w:caps w:val="0"/>
          <w:color w:val="auto"/>
          <w:spacing w:val="0"/>
          <w:w w:val="100"/>
          <w:sz w:val="28"/>
          <w:szCs w:val="28"/>
          <w:highlight w:val="none"/>
          <w:lang w:val="zh-CN" w:eastAsia="zh-TW" w:bidi="zh-CN"/>
        </w:rPr>
      </w:pPr>
      <w:r>
        <w:rPr>
          <w:rFonts w:hint="default" w:ascii="Times New Roman" w:hAnsi="Times New Roman" w:cs="Times New Roman"/>
          <w:b w:val="0"/>
          <w:i w:val="0"/>
          <w:caps w:val="0"/>
          <w:color w:val="auto"/>
          <w:spacing w:val="0"/>
          <w:w w:val="100"/>
          <w:sz w:val="28"/>
          <w:szCs w:val="28"/>
          <w:highlight w:val="none"/>
          <w:lang w:val="zh-CN" w:eastAsia="zh-TW" w:bidi="zh-CN"/>
        </w:rPr>
        <w:br w:type="page"/>
      </w:r>
    </w:p>
    <w:p>
      <w:pPr>
        <w:pStyle w:val="2"/>
        <w:snapToGrid w:val="0"/>
        <w:spacing w:before="340" w:beforeAutospacing="0" w:after="330" w:afterAutospacing="0" w:line="360" w:lineRule="auto"/>
        <w:jc w:val="center"/>
        <w:textAlignment w:val="baseline"/>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pPr>
      <w:bookmarkStart w:id="24" w:name="_Toc12361"/>
      <w:r>
        <w:rPr>
          <w:rFonts w:hint="default" w:ascii="Times New Roman" w:hAnsi="Times New Roman" w:cs="Times New Roman"/>
          <w:b w:val="0"/>
          <w:i w:val="0"/>
          <w:caps w:val="0"/>
          <w:color w:val="000000" w:themeColor="text1"/>
          <w:spacing w:val="0"/>
          <w:w w:val="100"/>
          <w:sz w:val="28"/>
          <w:szCs w:val="28"/>
          <w:highlight w:val="none"/>
          <w:lang w:val="zh-CN" w:eastAsia="zh-TW" w:bidi="zh-CN"/>
          <w14:textFill>
            <w14:solidFill>
              <w14:schemeClr w14:val="tx1"/>
            </w14:solidFill>
          </w14:textFill>
        </w:rPr>
        <w:t>3</w:t>
      </w:r>
      <w: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t>基础</w:t>
      </w:r>
      <w:bookmarkEnd w:id="22"/>
      <w: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t>规定</w:t>
      </w:r>
      <w:bookmarkEnd w:id="24"/>
    </w:p>
    <w:bookmarkEnd w:id="15"/>
    <w:bookmarkEnd w:id="16"/>
    <w:bookmarkEnd w:id="17"/>
    <w:bookmarkEnd w:id="18"/>
    <w:bookmarkEnd w:id="23"/>
    <w:p>
      <w:pPr>
        <w:pStyle w:val="3"/>
        <w:keepNext/>
        <w:keepLines/>
        <w:pageBreakBefore w:val="0"/>
        <w:widowControl w:val="0"/>
        <w:kinsoku/>
        <w:wordWrap/>
        <w:overflowPunct/>
        <w:topLinePunct w:val="0"/>
        <w:autoSpaceDE/>
        <w:autoSpaceDN/>
        <w:bidi w:val="0"/>
        <w:adjustRightInd/>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25" w:name="_Toc3259"/>
      <w:bookmarkStart w:id="26" w:name="_Toc19430"/>
      <w:bookmarkStart w:id="27" w:name="_Toc3292"/>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3.1 一般规定</w:t>
      </w:r>
      <w:bookmarkEnd w:id="25"/>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3.1.1 生产资质方面</w:t>
      </w:r>
    </w:p>
    <w:p>
      <w:pPr>
        <w:pStyle w:val="34"/>
        <w:snapToGrid w:val="0"/>
        <w:spacing w:before="0" w:beforeAutospacing="0" w:after="0" w:afterAutospacing="0" w:line="470" w:lineRule="exact"/>
        <w:ind w:firstLine="420" w:firstLineChars="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厂站应具有预拌混凝土生产合法有效的证件和资质，并持续符合预拌混凝土绿色生产、安全生产、环境保护现行标准的规定。</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3.1.2规划方面</w:t>
      </w:r>
    </w:p>
    <w:p>
      <w:pPr>
        <w:pStyle w:val="34"/>
        <w:snapToGrid w:val="0"/>
        <w:spacing w:before="0" w:beforeAutospacing="0" w:after="0" w:afterAutospacing="0" w:line="470" w:lineRule="exact"/>
        <w:ind w:firstLine="420" w:firstLineChars="0"/>
        <w:textAlignment w:val="baseline"/>
        <w:rPr>
          <w:rFonts w:hint="default" w:ascii="Times New Roman" w:hAnsi="Times New Roman" w:cs="Times New Roman"/>
          <w:b w:val="0"/>
          <w:i w:val="0"/>
          <w:caps w:val="0"/>
          <w:color w:val="auto"/>
          <w:spacing w:val="0"/>
          <w:w w:val="100"/>
          <w:sz w:val="20"/>
          <w:highlight w:val="none"/>
          <w:lang w:val="en-US" w:eastAsia="zh-CN" w:bidi="en-US"/>
        </w:rPr>
      </w:pPr>
      <w:r>
        <w:rPr>
          <w:rFonts w:hint="default" w:ascii="Times New Roman" w:hAnsi="Times New Roman" w:cs="Times New Roman"/>
          <w:b w:val="0"/>
          <w:i w:val="0"/>
          <w:caps w:val="0"/>
          <w:color w:val="auto"/>
          <w:spacing w:val="0"/>
          <w:w w:val="100"/>
          <w:sz w:val="20"/>
          <w:highlight w:val="none"/>
          <w:lang w:val="en-US" w:eastAsia="zh-CN" w:bidi="en-US"/>
        </w:rPr>
        <w:t>厂站建设应符合城市规划、土地利用规划和产业布局要求。厂址需避开环境敏感区和居民集中居住区，同时考虑未来发展的灵活性和可扩展性。</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auto"/>
          <w:spacing w:val="0"/>
          <w:w w:val="100"/>
          <w:sz w:val="20"/>
          <w:highlight w:val="none"/>
          <w:lang w:val="en-US" w:eastAsia="zh-CN" w:bidi="en-US"/>
        </w:rPr>
      </w:pPr>
      <w:r>
        <w:rPr>
          <w:rFonts w:hint="default" w:ascii="Times New Roman" w:hAnsi="Times New Roman" w:cs="Times New Roman"/>
          <w:b w:val="0"/>
          <w:i w:val="0"/>
          <w:caps w:val="0"/>
          <w:color w:val="auto"/>
          <w:spacing w:val="0"/>
          <w:w w:val="100"/>
          <w:sz w:val="20"/>
          <w:highlight w:val="none"/>
          <w:lang w:val="en-US" w:eastAsia="zh-CN" w:bidi="en-US"/>
        </w:rPr>
        <w:t>3.1.3 平台接入方面</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auto"/>
          <w:spacing w:val="0"/>
          <w:w w:val="100"/>
          <w:sz w:val="20"/>
          <w:highlight w:val="none"/>
          <w:lang w:val="en-US" w:eastAsia="zh-CN" w:bidi="en-US"/>
        </w:rPr>
      </w:pPr>
      <w:r>
        <w:rPr>
          <w:rFonts w:hint="default" w:ascii="Times New Roman" w:hAnsi="Times New Roman" w:cs="Times New Roman"/>
          <w:b w:val="0"/>
          <w:i w:val="0"/>
          <w:caps w:val="0"/>
          <w:color w:val="auto"/>
          <w:spacing w:val="0"/>
          <w:w w:val="100"/>
          <w:sz w:val="20"/>
          <w:highlight w:val="none"/>
          <w:lang w:val="en-US" w:eastAsia="zh-CN" w:bidi="en-US"/>
        </w:rPr>
        <w:t>厂站的ERP及视频监控等信息化系统，应满足散预信息化平台接入的技术要求。</w:t>
      </w:r>
    </w:p>
    <w:p>
      <w:pPr>
        <w:pStyle w:val="3"/>
        <w:keepNext/>
        <w:keepLines/>
        <w:pageBreakBefore w:val="0"/>
        <w:widowControl w:val="0"/>
        <w:kinsoku/>
        <w:wordWrap/>
        <w:overflowPunct/>
        <w:topLinePunct w:val="0"/>
        <w:autoSpaceDE/>
        <w:autoSpaceDN/>
        <w:bidi w:val="0"/>
        <w:adjustRightInd/>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28" w:name="_Toc9896"/>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3.2 硬件设施</w:t>
      </w:r>
      <w:bookmarkEnd w:id="28"/>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3.2.1一般要求</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3.2.1.1 生产企业应采用国家鼓励的先进技术</w:t>
      </w:r>
      <w:r>
        <w:rPr>
          <w:rFonts w:hint="default" w:ascii="Times New Roman" w:hAnsi="Times New Roman" w:cs="Times New Roman"/>
          <w:b w:val="0"/>
          <w:i w:val="0"/>
          <w:caps w:val="0"/>
          <w:color w:val="auto"/>
          <w:spacing w:val="0"/>
          <w:w w:val="100"/>
          <w:sz w:val="20"/>
          <w:highlight w:val="none"/>
          <w:lang w:val="en-US" w:eastAsia="zh-CN" w:bidi="en-US"/>
        </w:rPr>
        <w:t>工艺，不得</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使用国家或有关部门发布的淘汰或禁止的技术、工艺、装备及相关物质。</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3.2.2 机房与环境监控</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3.2.2.1厂站机房环境、不间断电源、温湿度等应符合GB50174标准要求。</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3.2.3网络与通信</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3.2.3.1 厂站应建立工控网络，支持自动化控制应用。</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3.2.3.2厂站应建设应用系统网络，实现大规模设备、人员与信息系统的互联。</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3.2.3.3企业宜建设/租用5G工业网络，支撑系统互联和网络协同应用，</w:t>
      </w:r>
      <w:r>
        <w:rPr>
          <w:rFonts w:hint="default" w:ascii="Times New Roman" w:hAnsi="Times New Roman" w:cs="Times New Roman"/>
          <w:b w:val="0"/>
          <w:i w:val="0"/>
          <w:caps w:val="0"/>
          <w:strike w:val="0"/>
          <w:dstrike w:val="0"/>
          <w:color w:val="000000" w:themeColor="text1"/>
          <w:spacing w:val="0"/>
          <w:w w:val="100"/>
          <w:sz w:val="20"/>
          <w:highlight w:val="none"/>
          <w:lang w:val="en-US" w:eastAsia="zh-CN" w:bidi="en-US"/>
          <w14:textFill>
            <w14:solidFill>
              <w14:schemeClr w14:val="tx1"/>
            </w14:solidFill>
          </w14:textFill>
        </w:rPr>
        <w:t>满足自动导引车、</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工业互联网等规模化移动应用场景需求。</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3.2.3.4厂站网络应涵盖生产网、办公网、视频网等，满足生产实时数据、多媒体和管理数据的传输交互需求。</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auto"/>
          <w:spacing w:val="0"/>
          <w:w w:val="100"/>
          <w:sz w:val="20"/>
          <w:highlight w:val="none"/>
          <w:lang w:val="en-US" w:eastAsia="zh-CN" w:bidi="en-US"/>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3.2.3.5厂站的关键工序设</w:t>
      </w:r>
      <w:r>
        <w:rPr>
          <w:rFonts w:hint="default" w:ascii="Times New Roman" w:hAnsi="Times New Roman" w:cs="Times New Roman"/>
          <w:b w:val="0"/>
          <w:i w:val="0"/>
          <w:caps w:val="0"/>
          <w:color w:val="auto"/>
          <w:spacing w:val="0"/>
          <w:w w:val="100"/>
          <w:sz w:val="20"/>
          <w:highlight w:val="none"/>
          <w:lang w:val="en-US" w:eastAsia="zh-CN" w:bidi="en-US"/>
        </w:rPr>
        <w:t>备应具备RJ45、RS232、RS485等标准通信接口，并支持主流通信协议，以确保设备间的数据交换和互联互通。</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auto"/>
          <w:spacing w:val="0"/>
          <w:w w:val="100"/>
          <w:sz w:val="20"/>
          <w:highlight w:val="none"/>
          <w:lang w:val="en-US" w:eastAsia="zh-CN" w:bidi="en-US"/>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3.2.4视频监</w:t>
      </w:r>
      <w:r>
        <w:rPr>
          <w:rFonts w:hint="default" w:ascii="Times New Roman" w:hAnsi="Times New Roman" w:cs="Times New Roman"/>
          <w:b w:val="0"/>
          <w:i w:val="0"/>
          <w:caps w:val="0"/>
          <w:color w:val="auto"/>
          <w:spacing w:val="0"/>
          <w:w w:val="100"/>
          <w:sz w:val="20"/>
          <w:highlight w:val="none"/>
          <w:lang w:val="en-US" w:eastAsia="zh-CN" w:bidi="en-US"/>
        </w:rPr>
        <w:t>控系统</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auto"/>
          <w:spacing w:val="0"/>
          <w:w w:val="100"/>
          <w:sz w:val="20"/>
          <w:highlight w:val="none"/>
          <w:lang w:val="en-US" w:eastAsia="zh-CN" w:bidi="en-US"/>
        </w:rPr>
      </w:pPr>
      <w:r>
        <w:rPr>
          <w:rFonts w:hint="default" w:ascii="Times New Roman" w:hAnsi="Times New Roman" w:cs="Times New Roman"/>
          <w:b w:val="0"/>
          <w:i w:val="0"/>
          <w:caps w:val="0"/>
          <w:color w:val="auto"/>
          <w:spacing w:val="0"/>
          <w:w w:val="100"/>
          <w:sz w:val="20"/>
          <w:highlight w:val="none"/>
          <w:lang w:val="en-US" w:eastAsia="zh-CN" w:bidi="en-US"/>
        </w:rPr>
        <w:t>3.2.4.1厂站的试配室、搅拌机卸料口、搅拌楼出入口、磅房仪表显示处等位置应配置视频监控设备。</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3.2.4.2厂站调度室宜通过远程视频监控方式获取现场浇筑画面，以保障现场交付质量，具体可采用移动式支架摄像头方式或泵车固定支架摄像头方式，并要具备远程网络监控功能。</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3.2.5设备状态监控</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3.2.5.1厂站上料系统应具备骨料仓开关限位检测、下料仓监控、粉料仓料位检测信息化手段</w:t>
      </w:r>
      <w:r>
        <w:rPr>
          <w:rFonts w:hint="default" w:ascii="Times New Roman" w:hAnsi="Times New Roman" w:cs="Times New Roman"/>
          <w:b w:val="0"/>
          <w:i w:val="0"/>
          <w:caps w:val="0"/>
          <w:strike w:val="0"/>
          <w:dstrike w:val="0"/>
          <w:color w:val="000000" w:themeColor="text1"/>
          <w:spacing w:val="0"/>
          <w:w w:val="100"/>
          <w:sz w:val="20"/>
          <w:highlight w:val="none"/>
          <w:lang w:val="en-US" w:eastAsia="zh-CN" w:bidi="en-US"/>
          <w14:textFill>
            <w14:solidFill>
              <w14:schemeClr w14:val="tx1"/>
            </w14:solidFill>
          </w14:textFill>
        </w:rPr>
        <w:t>及破拱装置</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strike/>
          <w:dstrike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3.2.5.2厂站传输系统应具备皮带轨迹检测</w:t>
      </w:r>
      <w:r>
        <w:rPr>
          <w:rFonts w:hint="default" w:ascii="Times New Roman" w:hAnsi="Times New Roman" w:cs="Times New Roman"/>
          <w:b w:val="0"/>
          <w:i w:val="0"/>
          <w:caps w:val="0"/>
          <w:strike w:val="0"/>
          <w:dstrike w:val="0"/>
          <w:color w:val="000000" w:themeColor="text1"/>
          <w:spacing w:val="0"/>
          <w:w w:val="100"/>
          <w:sz w:val="20"/>
          <w:highlight w:val="none"/>
          <w:lang w:val="en-US" w:eastAsia="zh-CN" w:bidi="en-US"/>
          <w14:textFill>
            <w14:solidFill>
              <w14:schemeClr w14:val="tx1"/>
            </w14:solidFill>
          </w14:textFill>
        </w:rPr>
        <w:t>、滚筒状态检测。</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3.1.5.3厂站空气动力系统应具备空压机状态监测、故障预警与诊断功能。</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3.2.6计量系统</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3.2.6.1厂站计量系统应符合GB17167和GB24789标准，计量精度满足技术与生产要求，并具备数据接口进行计量数据的有效采集。</w:t>
      </w:r>
    </w:p>
    <w:p>
      <w:pPr>
        <w:pStyle w:val="3"/>
        <w:keepNext/>
        <w:keepLines/>
        <w:pageBreakBefore w:val="0"/>
        <w:widowControl w:val="0"/>
        <w:kinsoku/>
        <w:wordWrap/>
        <w:overflowPunct/>
        <w:topLinePunct w:val="0"/>
        <w:autoSpaceDE/>
        <w:autoSpaceDN/>
        <w:bidi w:val="0"/>
        <w:adjustRightInd/>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29" w:name="_Toc23303"/>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3.3 软件系统</w:t>
      </w:r>
      <w:bookmarkEnd w:id="29"/>
    </w:p>
    <w:p>
      <w:pPr>
        <w:pStyle w:val="34"/>
        <w:snapToGrid w:val="0"/>
        <w:spacing w:before="0" w:beforeAutospacing="0" w:after="0" w:afterAutospacing="0" w:line="470" w:lineRule="exact"/>
        <w:jc w:val="lef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 xml:space="preserve"> 3.3.1信息系统建设</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 xml:space="preserve"> 3.3.1.1厂站宜使用专业化的办公OA等基础办公信息化系统，以及财务信息化系统。</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 xml:space="preserve"> 3.3.1.2厂站应上线ERP系统以及移动端系统，实现混凝土下单、生产数据查询等功能。</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 xml:space="preserve"> 3.3.1.3厂站可上线质量管理系统（QMS），实现质量数据的集中统一管理。</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 xml:space="preserve"> 3.3.1.4厂站可上线</w:t>
      </w:r>
      <w:r>
        <w:rPr>
          <w:rFonts w:hint="default" w:ascii="Times New Roman" w:hAnsi="Times New Roman" w:cs="Times New Roman"/>
          <w:b w:val="0"/>
          <w:i w:val="0"/>
          <w:caps w:val="0"/>
          <w:strike w:val="0"/>
          <w:dstrike w:val="0"/>
          <w:color w:val="000000" w:themeColor="text1"/>
          <w:spacing w:val="0"/>
          <w:w w:val="100"/>
          <w:sz w:val="20"/>
          <w:highlight w:val="none"/>
          <w:lang w:val="en-US" w:eastAsia="zh-CN" w:bidi="en-US"/>
          <w14:textFill>
            <w14:solidFill>
              <w14:schemeClr w14:val="tx1"/>
            </w14:solidFill>
          </w14:textFill>
        </w:rPr>
        <w:t>制造执行系统（</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MES），具备实时生产消耗、配合比连续计量等功能，并提供安全可靠的开放性接口，应能记录设备工艺条件、运行过程数据，具备搅拌过程电流、时间监测等功能。</w:t>
      </w:r>
    </w:p>
    <w:p>
      <w:pPr>
        <w:pStyle w:val="3"/>
        <w:keepNext/>
        <w:keepLines/>
        <w:pageBreakBefore w:val="0"/>
        <w:widowControl w:val="0"/>
        <w:kinsoku/>
        <w:wordWrap/>
        <w:overflowPunct/>
        <w:topLinePunct w:val="0"/>
        <w:autoSpaceDE/>
        <w:autoSpaceDN/>
        <w:bidi w:val="0"/>
        <w:adjustRightInd/>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30" w:name="_Toc18341"/>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3.4信息安全</w:t>
      </w:r>
      <w:bookmarkEnd w:id="30"/>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 xml:space="preserve"> 3.4.1 法律法规遵循</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3.4.1.1厂站可遵循《中华人民共和国网络安全法》要求，配置防病毒软件、防火墙等网络安全防护设备和系统，构建安全体系。</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3.4.1.2厂站应定期开展数据安全保障能力核验，开展攻防演练等，确保合规性。</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3.4.1.3厂站应按照《中华人民共和国计算机信息系统安全保护条例》等相关国家标准规范、法规，</w:t>
      </w:r>
      <w:r>
        <w:rPr>
          <w:rFonts w:hint="default" w:ascii="Times New Roman" w:hAnsi="Times New Roman" w:cs="Times New Roman"/>
          <w:b w:val="0"/>
          <w:i w:val="0"/>
          <w:caps w:val="0"/>
          <w:color w:val="auto"/>
          <w:spacing w:val="0"/>
          <w:w w:val="100"/>
          <w:sz w:val="20"/>
          <w:highlight w:val="none"/>
          <w:lang w:val="en-US" w:eastAsia="zh-CN" w:bidi="en-US"/>
        </w:rPr>
        <w:t>开展网络系统</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安全等级保护测评工作。</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3.4.2管理制度与技术措施</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3.4.2.1厂站应建立健全数据安全管理制度，使用网络安全产品和服务，确保网络边界安全访问控制及关键节点入侵检测和恶意代码检测能力。</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3.4.2.2厂站应实施数据加密、数据备份与恢复、数据脱敏等数据安全措施。</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3.4.3 信息安全防护</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3.4.3.1厂站宜通过信息化手段，如实时监控、双主机备份、指定IP访问控制等措施，提升数据安全性。</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3.4.3.2厂站宜应优化网络架构，实现云端与本地数据的实时同步。</w:t>
      </w:r>
    </w:p>
    <w:p>
      <w:pP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br w:type="page"/>
      </w:r>
    </w:p>
    <w:p>
      <w:pPr>
        <w:pStyle w:val="2"/>
        <w:snapToGrid w:val="0"/>
        <w:spacing w:before="340" w:beforeAutospacing="0" w:after="330" w:afterAutospacing="0" w:line="360" w:lineRule="auto"/>
        <w:jc w:val="center"/>
        <w:textAlignment w:val="baseline"/>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pPr>
      <w:bookmarkStart w:id="31" w:name="_Toc29700"/>
      <w: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t>4销售管理</w:t>
      </w:r>
      <w:bookmarkEnd w:id="26"/>
      <w:bookmarkEnd w:id="27"/>
      <w:bookmarkEnd w:id="31"/>
    </w:p>
    <w:p>
      <w:pPr>
        <w:pStyle w:val="3"/>
        <w:keepNext/>
        <w:keepLines/>
        <w:pageBreakBefore w:val="0"/>
        <w:widowControl w:val="0"/>
        <w:kinsoku/>
        <w:wordWrap/>
        <w:overflowPunct/>
        <w:topLinePunct w:val="0"/>
        <w:autoSpaceDE/>
        <w:autoSpaceDN/>
        <w:bidi w:val="0"/>
        <w:adjustRightInd/>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32" w:name="bookmark63"/>
      <w:bookmarkEnd w:id="32"/>
      <w:bookmarkStart w:id="33" w:name="_Toc10734"/>
      <w:bookmarkStart w:id="34" w:name="_Toc18399"/>
      <w:bookmarkStart w:id="35" w:name="_Toc11627"/>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4.1合同管理</w:t>
      </w:r>
      <w:bookmarkEnd w:id="33"/>
    </w:p>
    <w:p>
      <w:pPr>
        <w:pStyle w:val="34"/>
        <w:snapToGrid w:val="0"/>
        <w:spacing w:before="0" w:beforeAutospacing="0" w:after="0" w:afterAutospacing="0" w:line="470" w:lineRule="exact"/>
        <w:textAlignment w:val="baseline"/>
        <w:rPr>
          <w:rStyle w:val="19"/>
          <w:rFonts w:hint="default" w:ascii="Times New Roman" w:hAnsi="Times New Roman" w:eastAsia="Segoe UI" w:cs="Times New Roman"/>
          <w:b/>
          <w:bCs/>
          <w:i w:val="0"/>
          <w:iCs w:val="0"/>
          <w:caps w:val="0"/>
          <w:color w:val="000000" w:themeColor="text1"/>
          <w:spacing w:val="0"/>
          <w:sz w:val="22"/>
          <w:szCs w:val="22"/>
          <w:highlight w:val="none"/>
          <w:shd w:val="clear" w:fill="FDFDFE"/>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4.1.1 客户信息管理</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4.1.1.1厂</w:t>
      </w:r>
      <w:r>
        <w:rPr>
          <w:rFonts w:hint="default" w:ascii="Times New Roman" w:hAnsi="Times New Roman" w:cs="Times New Roman"/>
          <w:b w:val="0"/>
          <w:i w:val="0"/>
          <w:caps w:val="0"/>
          <w:color w:val="auto"/>
          <w:spacing w:val="0"/>
          <w:w w:val="100"/>
          <w:sz w:val="20"/>
          <w:highlight w:val="none"/>
          <w:lang w:val="en-US" w:eastAsia="zh-CN" w:bidi="en-US"/>
        </w:rPr>
        <w:t>站</w:t>
      </w:r>
      <w:r>
        <w:rPr>
          <w:rFonts w:hint="default" w:ascii="Times New Roman" w:hAnsi="Times New Roman" w:cs="Times New Roman"/>
          <w:b w:val="0"/>
          <w:i w:val="0"/>
          <w:caps w:val="0"/>
          <w:strike w:val="0"/>
          <w:dstrike w:val="0"/>
          <w:color w:val="auto"/>
          <w:spacing w:val="0"/>
          <w:w w:val="100"/>
          <w:sz w:val="20"/>
          <w:highlight w:val="none"/>
          <w:lang w:val="en-US" w:eastAsia="zh-CN" w:bidi="en-US"/>
        </w:rPr>
        <w:t>应上线销售信息化系统（或ERP销售管理模块），</w:t>
      </w:r>
      <w:r>
        <w:rPr>
          <w:rFonts w:hint="default" w:ascii="Times New Roman" w:hAnsi="Times New Roman" w:cs="Times New Roman"/>
          <w:b w:val="0"/>
          <w:i w:val="0"/>
          <w:caps w:val="0"/>
          <w:color w:val="auto"/>
          <w:spacing w:val="0"/>
          <w:w w:val="100"/>
          <w:sz w:val="20"/>
          <w:highlight w:val="none"/>
          <w:lang w:val="en-US" w:eastAsia="zh-CN" w:bidi="en-US"/>
        </w:rPr>
        <w:t>实现对客户基本信息及交易记录</w:t>
      </w:r>
      <w:r>
        <w:rPr>
          <w:rFonts w:hint="default" w:ascii="Times New Roman" w:hAnsi="Times New Roman" w:cs="Times New Roman"/>
          <w:b w:val="0"/>
          <w:i w:val="0"/>
          <w:caps w:val="0"/>
          <w:strike w:val="0"/>
          <w:dstrike w:val="0"/>
          <w:color w:val="auto"/>
          <w:spacing w:val="0"/>
          <w:w w:val="100"/>
          <w:sz w:val="20"/>
          <w:highlight w:val="none"/>
          <w:lang w:val="en-US" w:eastAsia="zh-CN" w:bidi="en-US"/>
        </w:rPr>
        <w:t>、信用状况等信息</w:t>
      </w:r>
      <w:r>
        <w:rPr>
          <w:rFonts w:hint="default" w:ascii="Times New Roman" w:hAnsi="Times New Roman" w:cs="Times New Roman"/>
          <w:b w:val="0"/>
          <w:i w:val="0"/>
          <w:caps w:val="0"/>
          <w:color w:val="auto"/>
          <w:spacing w:val="0"/>
          <w:w w:val="100"/>
          <w:sz w:val="20"/>
          <w:highlight w:val="none"/>
          <w:lang w:val="en-US" w:eastAsia="zh-CN" w:bidi="en-US"/>
        </w:rPr>
        <w:t>的有</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效管理。</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4.1.2 销售合同管理与评审</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4.1.2.1厂站可在</w:t>
      </w:r>
      <w:r>
        <w:rPr>
          <w:rFonts w:hint="default" w:ascii="Times New Roman" w:hAnsi="Times New Roman" w:cs="Times New Roman"/>
          <w:b w:val="0"/>
          <w:i w:val="0"/>
          <w:caps w:val="0"/>
          <w:strike w:val="0"/>
          <w:dstrike w:val="0"/>
          <w:color w:val="000000" w:themeColor="text1"/>
          <w:spacing w:val="0"/>
          <w:w w:val="100"/>
          <w:sz w:val="20"/>
          <w:highlight w:val="none"/>
          <w:lang w:val="en-US" w:eastAsia="zh-CN" w:bidi="en-US"/>
          <w14:textFill>
            <w14:solidFill>
              <w14:schemeClr w14:val="tx1"/>
            </w14:solidFill>
          </w14:textFill>
        </w:rPr>
        <w:t>销售信息化系统</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中录入销售合同，确保合同中的关键要素（如项目名称、产品标号、方量、价格等）能够准确提供给生产计划等业务环节使用。</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4.1.2.2厂站可通过</w:t>
      </w:r>
      <w:r>
        <w:rPr>
          <w:rFonts w:hint="default" w:ascii="Times New Roman" w:hAnsi="Times New Roman" w:cs="Times New Roman"/>
          <w:b w:val="0"/>
          <w:i w:val="0"/>
          <w:caps w:val="0"/>
          <w:strike w:val="0"/>
          <w:dstrike w:val="0"/>
          <w:color w:val="000000" w:themeColor="text1"/>
          <w:spacing w:val="0"/>
          <w:w w:val="100"/>
          <w:sz w:val="20"/>
          <w:highlight w:val="none"/>
          <w:lang w:val="en-US" w:eastAsia="zh-CN" w:bidi="en-US"/>
          <w14:textFill>
            <w14:solidFill>
              <w14:schemeClr w14:val="tx1"/>
            </w14:solidFill>
          </w14:textFill>
        </w:rPr>
        <w:t>销售信息化系统</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进行销售合同的线上评审，提供PC端和手机端等多种便捷的评审渠道，提高评审效率。</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4.1.3销售信息化系统协同</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4.1.3.1厂站可</w:t>
      </w:r>
      <w:r>
        <w:rPr>
          <w:rFonts w:hint="default" w:ascii="Times New Roman" w:hAnsi="Times New Roman" w:cs="Times New Roman"/>
          <w:b w:val="0"/>
          <w:i w:val="0"/>
          <w:caps w:val="0"/>
          <w:strike w:val="0"/>
          <w:dstrike w:val="0"/>
          <w:color w:val="000000" w:themeColor="text1"/>
          <w:spacing w:val="0"/>
          <w:w w:val="100"/>
          <w:sz w:val="20"/>
          <w:highlight w:val="none"/>
          <w:lang w:val="en-US" w:eastAsia="zh-CN" w:bidi="en-US"/>
          <w14:textFill>
            <w14:solidFill>
              <w14:schemeClr w14:val="tx1"/>
            </w14:solidFill>
          </w14:textFill>
        </w:rPr>
        <w:t>基于ERP系统实现销售信息化系统与生产、库存、财务等系统的对接，促进数字化协同作业</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，实现对厂站生产计划进行精准控制。</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4.1.3.2厂站可实现接入互联网+平台，实现原材料采购或产品销售的线上化，实现传统业务、信息技术与金融资本的高效协同。</w:t>
      </w:r>
    </w:p>
    <w:p>
      <w:pPr>
        <w:pStyle w:val="3"/>
        <w:keepNext/>
        <w:keepLines/>
        <w:pageBreakBefore w:val="0"/>
        <w:widowControl w:val="0"/>
        <w:kinsoku/>
        <w:wordWrap/>
        <w:overflowPunct/>
        <w:topLinePunct w:val="0"/>
        <w:autoSpaceDE/>
        <w:autoSpaceDN/>
        <w:bidi w:val="0"/>
        <w:adjustRightInd/>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36" w:name="_Toc25102"/>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4.2 客户服务</w:t>
      </w:r>
      <w:bookmarkEnd w:id="36"/>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4.2.1 信息化服务体系</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4.2.1.1厂站可建立包含客户反馈渠道和服务满意度评价制度的规范化信息化服务体系，实现客户服务闭环管理，提升客户满意度。</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4.2.2 客户关系管理</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4.2.2.1厂站可上线客户关系管理系统（CRM），对营销线索、客户管理、履约监控等业务进行全流程数字化管理，实现客户全生命周期管理。</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4.2.3 在线客服</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4.2.3.1厂站宜通过客户服务平台或移动客户端等实时提供在线客服支持，快速响应客户需求。</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4.2.3.2厂站宜上线项目客服系统，为施工方混凝土交付全过程赋能，实现风险智能预警、混凝土智能签收、账目智能结算、全过程智能监控，让信息更透明、让管理更高效、让体验更舒适。</w:t>
      </w:r>
    </w:p>
    <w:p>
      <w:pP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pPr>
      <w:bookmarkStart w:id="37" w:name="_Toc27030"/>
      <w: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br w:type="page"/>
      </w:r>
    </w:p>
    <w:p>
      <w:pPr>
        <w:pStyle w:val="2"/>
        <w:snapToGrid w:val="0"/>
        <w:spacing w:before="340" w:beforeAutospacing="0" w:after="330" w:afterAutospacing="0" w:line="360" w:lineRule="auto"/>
        <w:jc w:val="center"/>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bookmarkStart w:id="38" w:name="_Toc19267"/>
      <w: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t>5物资管理</w:t>
      </w:r>
      <w:bookmarkEnd w:id="37"/>
      <w:bookmarkEnd w:id="38"/>
    </w:p>
    <w:bookmarkEnd w:id="34"/>
    <w:bookmarkEnd w:id="35"/>
    <w:p>
      <w:pPr>
        <w:pStyle w:val="3"/>
        <w:keepNext/>
        <w:keepLines/>
        <w:pageBreakBefore w:val="0"/>
        <w:widowControl w:val="0"/>
        <w:kinsoku/>
        <w:wordWrap/>
        <w:overflowPunct/>
        <w:topLinePunct w:val="0"/>
        <w:autoSpaceDE/>
        <w:autoSpaceDN/>
        <w:bidi w:val="0"/>
        <w:adjustRightInd/>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39" w:name="_Toc28420"/>
      <w:bookmarkStart w:id="40" w:name="_Toc15699"/>
      <w:bookmarkStart w:id="41" w:name="_Toc25871"/>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5.1</w:t>
      </w:r>
      <w:bookmarkEnd w:id="39"/>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原材采购</w:t>
      </w:r>
      <w:bookmarkEnd w:id="40"/>
      <w:bookmarkEnd w:id="41"/>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bookmarkStart w:id="42" w:name="_Toc5592"/>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5.1.1 供应商管理</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5.1.1.1厂站应基于ERP系统建立统一的材料供应商名录，能自动统计名录内供应商的实际购进量，并具备供应商评价管理功能。</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5.1.2 采购计划下达</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5.1.2.1厂站可通过智能仓储系统实时获取原材料库存信息，根据原料库存和原料需求制定原料采购计划，确保生产过程中不出现断料情况。</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5.1.2.2厂站可通过智能仓储系统的电脑端或移动端完成采购计划的制定和下达，实现厂站和供应商之间的数据贯通，提高采购效率。</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5.1.3 供应商派车发货</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5.1.3.1原材料供应商可通过厂站智能仓储系统，实时接收厂站的采购计划，在线上完成派车送货，提高送货效率。</w:t>
      </w:r>
    </w:p>
    <w:p>
      <w:pPr>
        <w:pStyle w:val="3"/>
        <w:keepNext/>
        <w:keepLines/>
        <w:pageBreakBefore w:val="0"/>
        <w:widowControl w:val="0"/>
        <w:kinsoku/>
        <w:wordWrap/>
        <w:overflowPunct/>
        <w:topLinePunct w:val="0"/>
        <w:autoSpaceDE/>
        <w:autoSpaceDN/>
        <w:bidi w:val="0"/>
        <w:adjustRightInd/>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43" w:name="_Toc30408"/>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5.2原材入库</w:t>
      </w:r>
      <w:bookmarkEnd w:id="42"/>
      <w:bookmarkEnd w:id="43"/>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bookmarkStart w:id="44" w:name="_Toc7412"/>
      <w:bookmarkStart w:id="45" w:name="_Toc19270"/>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5.2.1 卸料指引</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5.2.1.1厂站的骨料仓可通过智能仓储系统实时获取骨料仓信息，并设置卸料标识牌（电子或非电子显示牌），为司机提供明确的卸料指引。</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5.2.1.2厂站的粉料仓、外加剂仓应设置料仓锁，实现自动指引卸料，确保入场准确充料。</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5.2.2 智能过磅</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5.2.2.1厂站可上线智能过磅系统，具备防作弊系统、对异常情况可自动预警，并利用红外、道闸、地感、射频刷卡、车牌识别、AI分析、拍照存档、LED语音播报等设备，实现稳定可靠的无人监管称重。</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5.2.3 物流管控</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5.2.3.1厂站宜基于智能仓储系统，根据生产流转和设备使用逻辑，通过信息化手段优化场区及仓库车辆通行路径、流量、装卸时间和逗留时间。</w:t>
      </w:r>
    </w:p>
    <w:p>
      <w:pPr>
        <w:pStyle w:val="3"/>
        <w:keepNext/>
        <w:keepLines/>
        <w:pageBreakBefore w:val="0"/>
        <w:widowControl w:val="0"/>
        <w:kinsoku/>
        <w:wordWrap/>
        <w:overflowPunct/>
        <w:topLinePunct w:val="0"/>
        <w:autoSpaceDE/>
        <w:autoSpaceDN/>
        <w:bidi w:val="0"/>
        <w:adjustRightInd/>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46" w:name="_Toc22994"/>
      <w:bookmarkStart w:id="47" w:name="_Toc25761"/>
      <w:bookmarkStart w:id="48" w:name="_Toc4458"/>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5.</w:t>
      </w:r>
      <w:bookmarkEnd w:id="46"/>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3原材库存</w:t>
      </w:r>
      <w:bookmarkEnd w:id="47"/>
      <w:bookmarkEnd w:id="48"/>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auto"/>
          <w:spacing w:val="0"/>
          <w:w w:val="100"/>
          <w:sz w:val="20"/>
          <w:highlight w:val="none"/>
          <w:lang w:val="en-US" w:eastAsia="zh-CN" w:bidi="en-US"/>
        </w:rPr>
      </w:pPr>
      <w:r>
        <w:rPr>
          <w:rFonts w:hint="default" w:ascii="Times New Roman" w:hAnsi="Times New Roman" w:cs="Times New Roman"/>
          <w:b w:val="0"/>
          <w:i w:val="0"/>
          <w:caps w:val="0"/>
          <w:color w:val="auto"/>
          <w:spacing w:val="0"/>
          <w:w w:val="100"/>
          <w:sz w:val="20"/>
          <w:highlight w:val="none"/>
          <w:lang w:val="en-US" w:eastAsia="zh-CN" w:bidi="en-US"/>
        </w:rPr>
        <w:t>5.3.1 智能仓储</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5.3.1.1厂站宜上线智能仓储系统，基于条码、二维码、RFID等技术，实现料仓分配、出入库的智能化管理。</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5.3.2 料位状态监测</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5.3.2.1厂站宜上线料仓监测系统，利用工业无线网和无线传感器自动采集罐内、货仓料位相关信息，对罐内、货仓进行实时监测。</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5.3.2.2料仓监测系统应能对储罐状态</w:t>
      </w:r>
      <w:r>
        <w:rPr>
          <w:rFonts w:hint="default" w:ascii="Times New Roman" w:hAnsi="Times New Roman" w:cs="Times New Roman"/>
          <w:b w:val="0"/>
          <w:i w:val="0"/>
          <w:caps w:val="0"/>
          <w:color w:val="auto"/>
          <w:spacing w:val="0"/>
          <w:w w:val="100"/>
          <w:sz w:val="20"/>
          <w:highlight w:val="none"/>
          <w:lang w:val="en-US" w:eastAsia="zh-CN" w:bidi="en-US"/>
        </w:rPr>
        <w:t>异常时自动报警，实现料仓锁开启/关闭，避免</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冒罐事故发生。</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5.3.3 原材料损耗管理</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5.3.3.1厂站宜通过料仓监测系统，实时采集原材料库存数据，并根据采购和消耗数据实时计算原材料库存理论值，通过误差分析促进原材料的精细化管理，提高库存管理的准确性和效率，为计量校准提供数据支撑。</w:t>
      </w:r>
    </w:p>
    <w:bookmarkEnd w:id="44"/>
    <w:bookmarkEnd w:id="45"/>
    <w:p>
      <w:pP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pPr>
      <w:bookmarkStart w:id="49" w:name="_Toc15947"/>
      <w:bookmarkStart w:id="50" w:name="_Toc9797"/>
    </w:p>
    <w:p>
      <w:pP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br w:type="page"/>
      </w:r>
    </w:p>
    <w:p>
      <w:pPr>
        <w:pStyle w:val="2"/>
        <w:snapToGrid w:val="0"/>
        <w:spacing w:before="340" w:beforeAutospacing="0" w:after="330" w:afterAutospacing="0" w:line="360"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51" w:name="_Toc19120"/>
      <w: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t>6生产管理</w:t>
      </w:r>
      <w:bookmarkEnd w:id="49"/>
      <w:bookmarkEnd w:id="50"/>
      <w:bookmarkEnd w:id="51"/>
      <w:bookmarkStart w:id="52" w:name="_Toc23298"/>
      <w:bookmarkStart w:id="53" w:name="_Toc17549"/>
    </w:p>
    <w:p>
      <w:pPr>
        <w:pStyle w:val="3"/>
        <w:keepNext/>
        <w:keepLines/>
        <w:pageBreakBefore w:val="0"/>
        <w:widowControl w:val="0"/>
        <w:kinsoku/>
        <w:wordWrap/>
        <w:overflowPunct/>
        <w:topLinePunct w:val="0"/>
        <w:autoSpaceDE/>
        <w:autoSpaceDN/>
        <w:bidi w:val="0"/>
        <w:adjustRightInd/>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54" w:name="_Toc10447"/>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6.1生产组织</w:t>
      </w:r>
      <w:bookmarkEnd w:id="52"/>
      <w:bookmarkEnd w:id="53"/>
      <w:bookmarkEnd w:id="54"/>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bookmarkStart w:id="55" w:name="_Toc24732"/>
      <w:bookmarkStart w:id="56" w:name="_Toc16819"/>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6.1.1 运营监控中心</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6.1.1.1厂站可设置运营监控中心，通过集中管控生产资源和运营活动，提高生产管理的透明度和效率</w:t>
      </w:r>
      <w:r>
        <w:rPr>
          <w:rFonts w:hint="default" w:ascii="Times New Roman" w:hAnsi="Times New Roman" w:cs="Times New Roman"/>
          <w:b w:val="0"/>
          <w:i w:val="0"/>
          <w:caps w:val="0"/>
          <w:color w:val="auto"/>
          <w:spacing w:val="0"/>
          <w:w w:val="100"/>
          <w:sz w:val="20"/>
          <w:highlight w:val="none"/>
          <w:lang w:val="en-US" w:eastAsia="zh-CN" w:bidi="en-US"/>
        </w:rPr>
        <w:t>。厂站宜配</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备数据显示大屏，实时呈现生产数据、运营数据、车辆信息等业务数据。</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6.1.2 生产计划管理</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6.1.2.1ERP系统可具备手机端下达计划的功能，用户可通过手机端实时下达和审核生产计划。</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6.1.2.2ERP系统应能够实时获取生产要素信息，对生产计划进行管理和跟踪。根据浇筑计划、发货间隔、运距等制定生产计划，工艺参数下发到机台，生产设备执行生产计划，执行过程的相关信息具备实时采集、工艺可视化，并对异常自动预警。</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6.1.2.3ERP系统应能根据实际情况调整计划，控制发货进度，包括暂停、恢复或完成生产发货，以及控制超量发货。</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jc w:val="both"/>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6.1.2.4厂站可采用APS实现智能调度排产。通过信息系统依据生产数量、交期等约束条件自动生成主生产计划。结合厂站生产能力、设备状态、物料资源、生产组织、运力等信息，根据订单动态信息自动安排生产任务执行顺序和排产计划。通过平衡设备和工人的生产负荷，减少订单等待时间，提高资源利用率。</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6.1.3 生产票据规范化管理</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6.1.3.1厂站可在ERP系统根据生产任务实现在线打印送货单据，单据内容应包含生产计划中的所有信息，包含但不限于生产时间、操作人员、车辆、方量等信息。</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6.1.3.2 ERP系统宜实现生产票据信息的录入、跟踪和规范化管理。通过订单在线下达和跟踪管理功能，供需双方可在线实时查询订单状态，并具备可配置订单异常状态的提醒功能，对订单超时、断档数据进行统计分析。</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6.1.4车辆自助进出厂</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6.1.4.1厂站可具备车辆自助进出厂装置，实现司机自助完成打印发货单、出场称重、运输交付、空车进场称重等业务，提高车辆进出厂的效率和准确性。</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6.1.4.2厂站可配备自助排队装置和系统，通过LED大屏、手机端、语音播报等方式通知司机接料。通过优化排队流程，减少司机等待时间，提高生产效率。</w:t>
      </w:r>
    </w:p>
    <w:p>
      <w:pPr>
        <w:pStyle w:val="3"/>
        <w:keepNext/>
        <w:keepLines/>
        <w:pageBreakBefore w:val="0"/>
        <w:widowControl w:val="0"/>
        <w:kinsoku/>
        <w:wordWrap/>
        <w:overflowPunct/>
        <w:topLinePunct w:val="0"/>
        <w:autoSpaceDE/>
        <w:autoSpaceDN/>
        <w:bidi w:val="0"/>
        <w:adjustRightInd/>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57" w:name="_Toc18211"/>
      <w:bookmarkStart w:id="58" w:name="_Toc8973"/>
      <w:bookmarkStart w:id="59" w:name="_Toc16464"/>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6.</w:t>
      </w:r>
      <w:bookmarkEnd w:id="57"/>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2</w:t>
      </w:r>
      <w:bookmarkEnd w:id="58"/>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生产控制</w:t>
      </w:r>
      <w:bookmarkEnd w:id="59"/>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6.2.1 全自动工业控制系统</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6.2.1.1厂站应采用制造执行系统（MES）实现全自动工业控制（以下简称“工控系统”）进行产品制造。自动获取配合比和生产订单，并自动完成上料、搅拌、卸料等生产过程。</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6.2.1.2工控系统应具备生产提前称量、计量、自动修正的功能，能够根据实际需求调整投料顺序和搅拌时间，确保产品质量的稳定性和一致性。</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6.2.1.3工控系统应具备数据采集接口和网络端口，支持远程控制生产，并满足 ERP 等外部系统对其进行数据采集。</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6.2.2 实时监控与预警</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6.2.2.1工控系统应对原材料进料、上料、计量、搅拌和混凝土卸料等生产环节进行实时监控和预警。通过实时数据采集和存储，支持动态数据的实时传输，为生产管理提供及时、准确的信息支持。</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6.2.3 耗能监测与优化</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6.2.3.1工控系统宜实时采集生产用水、用电、用油等耗能数据，实现耗能数字化实时动态监测，建立监测模型。通过耗能在线监测，能够及时发现异常能耗并报警。同时，根据监测数据分析混凝土单位能耗，以及生产流程各工艺对单位能耗的影响，为混凝土绿色生产的持续改善提供科学依据。</w:t>
      </w:r>
    </w:p>
    <w:p>
      <w:pPr>
        <w:pStyle w:val="3"/>
        <w:keepNext/>
        <w:keepLines/>
        <w:pageBreakBefore w:val="0"/>
        <w:widowControl w:val="0"/>
        <w:kinsoku/>
        <w:wordWrap/>
        <w:overflowPunct/>
        <w:topLinePunct w:val="0"/>
        <w:autoSpaceDE/>
        <w:autoSpaceDN/>
        <w:bidi w:val="0"/>
        <w:adjustRightInd/>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60" w:name="_Toc13599"/>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6.3运输交付</w:t>
      </w:r>
      <w:bookmarkEnd w:id="55"/>
      <w:bookmarkEnd w:id="56"/>
      <w:bookmarkEnd w:id="60"/>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bookmarkStart w:id="61" w:name="_Toc26331"/>
      <w:bookmarkStart w:id="62" w:name="_Toc27070"/>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6.3.1 运输管理</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6.3.1.1厂站应在ERP系统实现对车辆和驾驶员的统一管理，通过运输管理系统实现订单、运输计划、运力资源、调度等的数据管理。通过信息系统跟踪运输配送关键节点信息，并将信息反馈给客户。同时，对运输配送全过程进行信息跟踪，对异常轨迹进行报警。</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6.3.1.2厂站应基于车载定位技术和移动端技术，司机通过手机或者PC端自助完成车辆出站、回站，以及通过车辆排队LED显示屏或手机端实现自动排队。</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6.3.2 智能监测与预警</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6.3.2.1物流车辆应安装定位系统和传感器，实时获取定位、正反转等信息。应与ERP系统实现数据互联，辅助车辆的调度排程。</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6.3.2.2厂站宜基于定位系统对预拌混凝土物流车辆途中卸料、疲劳驾驶、视野盲区等问题实现自动预警，异常信息自动存档、上报到监管人员移动端或Web端软件，及时进行处理。</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6.3.3 智能签收</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6.3.3.1厂站的项目客服系统宜具备项目手机端电子收货签收功能，通过移动端应用提高收货效率，确保货物安全送达。</w:t>
      </w:r>
    </w:p>
    <w:p>
      <w:pPr>
        <w:snapToGrid w:val="0"/>
        <w:spacing w:before="260" w:beforeAutospacing="0" w:after="260" w:afterAutospacing="0" w:line="416" w:lineRule="auto"/>
        <w:jc w:val="center"/>
        <w:textAlignment w:val="baseline"/>
        <w:outlineLvl w:val="9"/>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p>
    <w:p>
      <w:pP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br w:type="page"/>
      </w:r>
    </w:p>
    <w:p>
      <w:pPr>
        <w:pStyle w:val="2"/>
        <w:snapToGrid w:val="0"/>
        <w:spacing w:before="340" w:beforeAutospacing="0" w:after="330" w:afterAutospacing="0" w:line="360"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63" w:name="_Toc29164"/>
      <w: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t>7环境与安全</w:t>
      </w:r>
      <w:bookmarkEnd w:id="63"/>
    </w:p>
    <w:p>
      <w:pPr>
        <w:pStyle w:val="3"/>
        <w:snapToGrid w:val="0"/>
        <w:spacing w:before="260" w:beforeAutospacing="0" w:after="260" w:afterAutospacing="0" w:line="416" w:lineRule="auto"/>
        <w:jc w:val="center"/>
        <w:textAlignment w:val="baseline"/>
        <w:rPr>
          <w:rFonts w:hint="default" w:ascii="Times New Roman" w:hAnsi="Times New Roman" w:cs="Times New Roman" w:eastAsiaTheme="majorEastAsia"/>
          <w:b w:val="0"/>
          <w:i w:val="0"/>
          <w:caps w:val="0"/>
          <w:color w:val="000000" w:themeColor="text1"/>
          <w:spacing w:val="0"/>
          <w:w w:val="100"/>
          <w:sz w:val="22"/>
          <w:szCs w:val="24"/>
          <w:highlight w:val="none"/>
          <w:lang w:val="en-US" w:eastAsia="zh-CN" w:bidi="en-US"/>
          <w14:textFill>
            <w14:solidFill>
              <w14:schemeClr w14:val="tx1"/>
            </w14:solidFill>
          </w14:textFill>
        </w:rPr>
      </w:pPr>
      <w:bookmarkStart w:id="64" w:name="_Toc16964"/>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7.1环境管理</w:t>
      </w:r>
      <w:bookmarkEnd w:id="61"/>
      <w:bookmarkEnd w:id="62"/>
      <w:bookmarkEnd w:id="64"/>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7.1.1粉尘、噪声管理</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7.1.1.1厂站粉料筒仓、主机楼搅拌机应设置自动除尘装置；厂站应建设封闭式料仓，并配备自动喷淋设施。</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7.1.1.2厂站宜在厂区内配备智能雾桩/雾炮车、可配备具有数据接口的自动破碎机、污水自动回收等智能化清洁设备。</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7.1.1.3厂站应在关键部位设置噪声、粉尘、风速和气温传感器，实现环境监测数据实时监测和在线管理，在线预警</w:t>
      </w:r>
      <w:r>
        <w:rPr>
          <w:rFonts w:hint="default" w:ascii="Times New Roman" w:hAnsi="Times New Roman" w:cs="Times New Roman"/>
          <w:b w:val="0"/>
          <w:i w:val="0"/>
          <w:caps w:val="0"/>
          <w:color w:val="auto"/>
          <w:spacing w:val="0"/>
          <w:w w:val="100"/>
          <w:sz w:val="20"/>
          <w:highlight w:val="none"/>
          <w:lang w:val="en-US" w:eastAsia="zh-CN" w:bidi="en-US"/>
        </w:rPr>
        <w:t>，宜</w:t>
      </w:r>
      <w:r>
        <w:rPr>
          <w:rFonts w:hint="default" w:ascii="Times New Roman" w:hAnsi="Times New Roman" w:eastAsia="宋体" w:cs="Times New Roman"/>
          <w:color w:val="auto"/>
          <w:kern w:val="0"/>
          <w:szCs w:val="21"/>
          <w:highlight w:val="none"/>
          <w:lang w:val="en-US" w:eastAsia="zh-CN"/>
        </w:rPr>
        <w:t>参照JGJ/T 328</w:t>
      </w:r>
      <w:r>
        <w:rPr>
          <w:rFonts w:hint="default" w:ascii="Times New Roman" w:hAnsi="Times New Roman" w:cs="Times New Roman"/>
          <w:b w:val="0"/>
          <w:i w:val="0"/>
          <w:caps w:val="0"/>
          <w:color w:val="auto"/>
          <w:spacing w:val="0"/>
          <w:w w:val="100"/>
          <w:sz w:val="20"/>
          <w:highlight w:val="none"/>
          <w:lang w:val="en-US" w:eastAsia="zh-CN" w:bidi="en-US"/>
        </w:rPr>
        <w:t>绿色生产相应星级的排放指标，实</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现监测传感器与降尘设备联动，在线预警及自动降尘处理，确保其污染物排放符合相应的标准要求。</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7.1.2 回收和处置系统</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7.1.2.1厂站宜在废水、废浆处理装置处设置传感器，通过设置在各个处理环节的传感器，实时监测废水中的各种指标，如pH值、固含量等，相关数据接入ERP，包括数据记录、报表生成、质量评价等。</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7.1.2.2回收和处</w:t>
      </w:r>
      <w:r>
        <w:rPr>
          <w:rFonts w:hint="default" w:ascii="Times New Roman" w:hAnsi="Times New Roman" w:cs="Times New Roman"/>
          <w:b w:val="0"/>
          <w:i w:val="0"/>
          <w:caps w:val="0"/>
          <w:color w:val="auto"/>
          <w:spacing w:val="0"/>
          <w:w w:val="100"/>
          <w:sz w:val="20"/>
          <w:highlight w:val="none"/>
          <w:lang w:val="en-US" w:eastAsia="zh-CN" w:bidi="en-US"/>
        </w:rPr>
        <w:t>置系统宜参照JGJ 63监控废水成分并设立处理目标，自动</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调整处理流程。通过智能控制的浓缩和分离设备，将废浆中的固体颗粒分离出来，实现废浆的减量化。</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7.1.3 能耗统计与碳排放计算</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7.1.3.1厂站宜通过环境在线监测系统对生产废水、废浆和固体废弃物用量进行统计，对能耗（水、电、油、气）进行实时监控数据采集。系统宜具备统计混凝土产品能耗进行碳排放计算的功能，为环保决策提供科学依据。</w:t>
      </w:r>
      <w:bookmarkStart w:id="65" w:name="_Toc1495"/>
      <w:bookmarkStart w:id="66" w:name="_Toc16108"/>
    </w:p>
    <w:p>
      <w:pPr>
        <w:pStyle w:val="3"/>
        <w:keepNext/>
        <w:keepLines/>
        <w:pageBreakBefore w:val="0"/>
        <w:widowControl w:val="0"/>
        <w:kinsoku/>
        <w:wordWrap/>
        <w:overflowPunct/>
        <w:topLinePunct w:val="0"/>
        <w:autoSpaceDE/>
        <w:autoSpaceDN/>
        <w:bidi w:val="0"/>
        <w:adjustRightInd/>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67" w:name="_Toc29620"/>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7.2安全管理</w:t>
      </w:r>
      <w:bookmarkEnd w:id="65"/>
      <w:bookmarkEnd w:id="66"/>
      <w:bookmarkEnd w:id="67"/>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eastAsia="PingFang-SC-Regular" w:cs="Times New Roman"/>
          <w:color w:val="000000" w:themeColor="text1"/>
          <w:sz w:val="22"/>
          <w:szCs w:val="22"/>
          <w:highlight w:val="none"/>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7.2.1安全作业规范化管理</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7.2.1.1厂站宜采用信息技术手段，如物联网、大数据分析等，实现安全作业的规范化管理；包括收集和分析安全风险数据、重大危险源的在线监测，以及制定详细的设备维护计划和巡检路线。通过实时监测和分析这些数据，及时发现潜在的安全隐患，提高安全管理水平。</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eastAsia="PingFang-SC-Regular" w:cs="Times New Roman"/>
          <w:color w:val="000000" w:themeColor="text1"/>
          <w:sz w:val="22"/>
          <w:szCs w:val="22"/>
          <w:highlight w:val="none"/>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7.2.2安全作业系统</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7.2.2.1厂站应上线安全作业审批系统，对重要设备和危险设备的维修作业进行线上审批，并驱动设备传动、供电、开关灯等设备，实现对作业过程的安全控制。辅助降低人为操作失误的风险，确保维修作业符合安全规范。</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7.2.2.2厂站宜上线安全隐患排查系统，对厂站重点区域安全情况每日进行巡检落实，对存在安全隐患的地方通过系统完成发现、排查、整改、审核闭环，确保无安全隐患 。</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eastAsia="PingFang-SC-Regular" w:cs="Times New Roman"/>
          <w:color w:val="000000" w:themeColor="text1"/>
          <w:sz w:val="22"/>
          <w:szCs w:val="22"/>
          <w:highlight w:val="none"/>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7.2.3</w:t>
      </w:r>
      <w:r>
        <w:rPr>
          <w:rFonts w:hint="default" w:ascii="Times New Roman" w:hAnsi="Times New Roman" w:cs="Times New Roman"/>
          <w:b w:val="0"/>
          <w:i w:val="0"/>
          <w:caps w:val="0"/>
          <w:color w:val="000000" w:themeColor="text1"/>
          <w:spacing w:val="0"/>
          <w:w w:val="100"/>
          <w:sz w:val="21"/>
          <w:szCs w:val="21"/>
          <w:highlight w:val="none"/>
          <w:lang w:val="en-US" w:eastAsia="zh-CN" w:bidi="en-US"/>
          <w14:textFill>
            <w14:solidFill>
              <w14:schemeClr w14:val="tx1"/>
            </w14:solidFill>
          </w14:textFill>
        </w:rPr>
        <w:t>安全预警系统</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7.2.3.1厂站宜在关键业务场景实现线上化安全预警系统。利用视频AI技术，实现故障检测、人员检测及行为分析、烟火检测等功能。</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auto"/>
          <w:spacing w:val="0"/>
          <w:w w:val="100"/>
          <w:sz w:val="20"/>
          <w:highlight w:val="none"/>
          <w:lang w:val="en-US" w:eastAsia="zh-CN" w:bidi="en-US"/>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7.2.3.2厂站</w:t>
      </w:r>
      <w:r>
        <w:rPr>
          <w:rFonts w:hint="default" w:ascii="Times New Roman" w:hAnsi="Times New Roman" w:cs="Times New Roman"/>
          <w:b w:val="0"/>
          <w:i w:val="0"/>
          <w:caps w:val="0"/>
          <w:color w:val="auto"/>
          <w:spacing w:val="0"/>
          <w:w w:val="100"/>
          <w:sz w:val="20"/>
          <w:highlight w:val="none"/>
          <w:lang w:val="en-US" w:eastAsia="zh-CN" w:bidi="en-US"/>
        </w:rPr>
        <w:t>宜通过AI视频分析技术，对厂区人员规范着装行为（反光背心、安全帽）进行实时监控和预警，对车辆的运行速度进行实时监控和超速预警。</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auto"/>
          <w:spacing w:val="0"/>
          <w:w w:val="100"/>
          <w:sz w:val="20"/>
          <w:highlight w:val="none"/>
          <w:lang w:val="en-US" w:eastAsia="zh-CN" w:bidi="en-US"/>
        </w:rPr>
        <w:t>7.2.3.3厂站宜通过AI视频分析技术对铲车作业</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期间的料场、吊装通道、拌机维修口等进行实时监测和预警，辅助提高安全预警的准确性和及时性，确保人员和设备的安全。</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7.2.3.4厂站宜通过红外感应等技术，依据危险源的安全等级</w:t>
      </w:r>
      <w:r>
        <w:rPr>
          <w:rFonts w:hint="default" w:ascii="Times New Roman" w:hAnsi="Times New Roman" w:cs="Times New Roman"/>
          <w:b w:val="0"/>
          <w:i w:val="0"/>
          <w:caps w:val="0"/>
          <w:color w:val="auto"/>
          <w:spacing w:val="0"/>
          <w:w w:val="100"/>
          <w:sz w:val="20"/>
          <w:highlight w:val="none"/>
          <w:lang w:val="en-US" w:eastAsia="zh-CN" w:bidi="en-US"/>
        </w:rPr>
        <w:t>部署电子栅栏。当有人进入危险环境或发生异常情况时，电子栅栏将自动进行告警、制动等动作。通过智</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能化手段，提高安全管理水平，减少安全事故的发生。</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sectPr>
          <w:footerReference r:id="rId8" w:type="default"/>
          <w:pgSz w:w="11900" w:h="16840"/>
          <w:pgMar w:top="1463" w:right="1264" w:bottom="1939" w:left="1729" w:header="1032" w:footer="850" w:gutter="0"/>
          <w:pgNumType w:fmt="decimal" w:start="1"/>
          <w:cols w:space="0" w:num="1"/>
          <w:rtlGutter w:val="0"/>
          <w:docGrid w:linePitch="360" w:charSpace="0"/>
        </w:sectPr>
      </w:pPr>
    </w:p>
    <w:p>
      <w:pPr>
        <w:pStyle w:val="2"/>
        <w:snapToGrid w:val="0"/>
        <w:spacing w:before="340" w:beforeAutospacing="0" w:after="330" w:afterAutospacing="0" w:line="360" w:lineRule="auto"/>
        <w:jc w:val="center"/>
        <w:textAlignment w:val="baseline"/>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pPr>
      <w:bookmarkStart w:id="68" w:name="_Toc5104"/>
      <w:bookmarkStart w:id="69" w:name="_Toc23761"/>
      <w:bookmarkStart w:id="70" w:name="_Toc9853"/>
      <w: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t>8质量管理</w:t>
      </w:r>
      <w:bookmarkEnd w:id="68"/>
      <w:bookmarkEnd w:id="69"/>
      <w:bookmarkEnd w:id="70"/>
    </w:p>
    <w:p>
      <w:pPr>
        <w:pStyle w:val="3"/>
        <w:keepNext/>
        <w:keepLines/>
        <w:pageBreakBefore w:val="0"/>
        <w:widowControl w:val="0"/>
        <w:kinsoku/>
        <w:wordWrap/>
        <w:overflowPunct/>
        <w:topLinePunct w:val="0"/>
        <w:autoSpaceDE/>
        <w:autoSpaceDN/>
        <w:bidi w:val="0"/>
        <w:adjustRightInd/>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71" w:name="_Toc451"/>
      <w:bookmarkStart w:id="72" w:name="_Toc20460"/>
      <w:bookmarkStart w:id="73" w:name="_Toc24132"/>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8.1配合比管理</w:t>
      </w:r>
      <w:bookmarkEnd w:id="71"/>
      <w:bookmarkEnd w:id="72"/>
      <w:bookmarkEnd w:id="73"/>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bookmarkStart w:id="74" w:name="bookmark71"/>
      <w:bookmarkStart w:id="75" w:name="_Toc25835"/>
      <w:bookmarkStart w:id="76" w:name="_Toc28210"/>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8.1.1厂站的信息系统应建立产品标识主数据，便于与第三方系统进行质量数据对接。</w:t>
      </w:r>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auto"/>
          <w:spacing w:val="0"/>
          <w:w w:val="100"/>
          <w:sz w:val="20"/>
          <w:highlight w:val="none"/>
          <w:lang w:val="en-US" w:eastAsia="zh-CN" w:bidi="en-US"/>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8.1.2</w:t>
      </w:r>
      <w:r>
        <w:rPr>
          <w:rFonts w:hint="default" w:ascii="Times New Roman" w:hAnsi="Times New Roman" w:cs="Times New Roman"/>
          <w:b w:val="0"/>
          <w:i w:val="0"/>
          <w:caps w:val="0"/>
          <w:color w:val="auto"/>
          <w:spacing w:val="0"/>
          <w:w w:val="100"/>
          <w:sz w:val="20"/>
          <w:highlight w:val="none"/>
          <w:lang w:val="en-US" w:eastAsia="zh-TW" w:bidi="en-US"/>
        </w:rPr>
        <w:t>厂站的ERP系统应建立</w:t>
      </w:r>
      <w:r>
        <w:rPr>
          <w:rFonts w:hint="default" w:ascii="Times New Roman" w:hAnsi="Times New Roman" w:cs="Times New Roman"/>
          <w:b w:val="0"/>
          <w:i w:val="0"/>
          <w:caps w:val="0"/>
          <w:color w:val="auto"/>
          <w:spacing w:val="0"/>
          <w:w w:val="100"/>
          <w:sz w:val="20"/>
          <w:highlight w:val="none"/>
          <w:lang w:val="en-US" w:eastAsia="zh-CN" w:bidi="en-US"/>
        </w:rPr>
        <w:t>理论</w:t>
      </w:r>
      <w:r>
        <w:rPr>
          <w:rFonts w:hint="default" w:ascii="Times New Roman" w:hAnsi="Times New Roman" w:cs="Times New Roman"/>
          <w:b w:val="0"/>
          <w:i w:val="0"/>
          <w:caps w:val="0"/>
          <w:color w:val="auto"/>
          <w:spacing w:val="0"/>
          <w:w w:val="100"/>
          <w:sz w:val="20"/>
          <w:highlight w:val="none"/>
          <w:lang w:val="en-US" w:eastAsia="zh-TW" w:bidi="en-US"/>
        </w:rPr>
        <w:t>配合比</w:t>
      </w:r>
      <w:r>
        <w:rPr>
          <w:rFonts w:hint="default" w:ascii="Times New Roman" w:hAnsi="Times New Roman" w:cs="Times New Roman"/>
          <w:b w:val="0"/>
          <w:i w:val="0"/>
          <w:caps w:val="0"/>
          <w:color w:val="auto"/>
          <w:spacing w:val="0"/>
          <w:w w:val="100"/>
          <w:sz w:val="20"/>
          <w:highlight w:val="none"/>
          <w:lang w:val="en-US" w:eastAsia="zh-CN" w:bidi="en-US"/>
        </w:rPr>
        <w:t>数据库，并规定</w:t>
      </w:r>
      <w:r>
        <w:rPr>
          <w:rFonts w:hint="default" w:ascii="Times New Roman" w:hAnsi="Times New Roman" w:cs="Times New Roman"/>
          <w:b w:val="0"/>
          <w:i w:val="0"/>
          <w:caps w:val="0"/>
          <w:color w:val="auto"/>
          <w:spacing w:val="0"/>
          <w:w w:val="100"/>
          <w:sz w:val="20"/>
          <w:highlight w:val="none"/>
          <w:lang w:val="en-US" w:eastAsia="zh-TW" w:bidi="en-US"/>
        </w:rPr>
        <w:t>管理机制，由专人负责管理配合比数据，包括创建和调整配合比数据，确保</w:t>
      </w:r>
      <w:r>
        <w:rPr>
          <w:rFonts w:hint="default" w:ascii="Times New Roman" w:hAnsi="Times New Roman" w:cs="Times New Roman"/>
          <w:b w:val="0"/>
          <w:i w:val="0"/>
          <w:caps w:val="0"/>
          <w:color w:val="auto"/>
          <w:spacing w:val="0"/>
          <w:w w:val="100"/>
          <w:sz w:val="20"/>
          <w:highlight w:val="none"/>
          <w:lang w:val="en-US" w:eastAsia="zh-CN" w:bidi="en-US"/>
        </w:rPr>
        <w:t>配合比的准确性</w:t>
      </w:r>
      <w:r>
        <w:rPr>
          <w:rFonts w:hint="default" w:ascii="Times New Roman" w:hAnsi="Times New Roman" w:cs="Times New Roman"/>
          <w:b w:val="0"/>
          <w:i w:val="0"/>
          <w:caps w:val="0"/>
          <w:color w:val="auto"/>
          <w:spacing w:val="0"/>
          <w:w w:val="100"/>
          <w:sz w:val="20"/>
          <w:highlight w:val="none"/>
          <w:lang w:val="en-US" w:eastAsia="zh-TW" w:bidi="en-US"/>
        </w:rPr>
        <w:t>。</w:t>
      </w:r>
    </w:p>
    <w:bookmarkEnd w:id="74"/>
    <w:p>
      <w:pPr>
        <w:pStyle w:val="34"/>
        <w:tabs>
          <w:tab w:val="left" w:pos="330"/>
        </w:tabs>
        <w:snapToGrid w:val="0"/>
        <w:spacing w:before="0" w:beforeAutospacing="0" w:after="0" w:afterAutospacing="0" w:line="466" w:lineRule="exact"/>
        <w:jc w:val="both"/>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bookmarkStart w:id="77" w:name="bookmark76"/>
      <w:bookmarkEnd w:id="77"/>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8.1.3厂站应通过信息化手段限制配合比数据的获取，确保配合比的数据安全。配合比数据</w:t>
      </w:r>
      <w:r>
        <w:rPr>
          <w:rFonts w:hint="default" w:ascii="Times New Roman" w:hAnsi="Times New Roman" w:cs="Times New Roman"/>
          <w:b w:val="0"/>
          <w:i w:val="0"/>
          <w:caps w:val="0"/>
          <w:strike w:val="0"/>
          <w:dstrike w:val="0"/>
          <w:color w:val="000000" w:themeColor="text1"/>
          <w:spacing w:val="0"/>
          <w:w w:val="100"/>
          <w:sz w:val="20"/>
          <w:highlight w:val="none"/>
          <w:lang w:val="en-US" w:eastAsia="zh-CN" w:bidi="en-US"/>
          <w14:textFill>
            <w14:solidFill>
              <w14:schemeClr w14:val="tx1"/>
            </w14:solidFill>
          </w14:textFill>
        </w:rPr>
        <w:t>宜</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从ERP系统录入，并直接贯通至工控系统，以防止数据被篡改或误操作，</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确保</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混凝土生产的精准性和一致性。</w:t>
      </w:r>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8.1.4</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厂站</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的ERP系统应建立配合比调整控制机制，调整项应根据企业授权程序进行，并按照角色匹配对应的调整权限，实现配合比分级调整控制管理，</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确保</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配合比的准确性和一致性。</w:t>
      </w:r>
      <w:bookmarkEnd w:id="75"/>
      <w:bookmarkEnd w:id="76"/>
      <w:bookmarkStart w:id="78" w:name="_Toc20216"/>
      <w:bookmarkStart w:id="79" w:name="_Toc28773"/>
    </w:p>
    <w:p>
      <w:pPr>
        <w:pStyle w:val="3"/>
        <w:keepNext/>
        <w:keepLines/>
        <w:pageBreakBefore w:val="0"/>
        <w:widowControl w:val="0"/>
        <w:kinsoku/>
        <w:wordWrap/>
        <w:overflowPunct/>
        <w:topLinePunct w:val="0"/>
        <w:autoSpaceDE/>
        <w:autoSpaceDN/>
        <w:bidi w:val="0"/>
        <w:adjustRightInd/>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80" w:name="_Toc18466"/>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8.2原材料质量检测</w:t>
      </w:r>
      <w:bookmarkEnd w:id="80"/>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8.2.1原材料取样</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auto"/>
          <w:spacing w:val="0"/>
          <w:w w:val="100"/>
          <w:sz w:val="20"/>
          <w:highlight w:val="none"/>
          <w:lang w:val="en-US" w:eastAsia="zh-CN" w:bidi="en-US"/>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8.2.1.1厂站宜上线原材自动取样系统，通过信息化手段实现骨料、粉料的自动</w:t>
      </w:r>
      <w:r>
        <w:rPr>
          <w:rFonts w:hint="default" w:ascii="Times New Roman" w:hAnsi="Times New Roman" w:cs="Times New Roman"/>
          <w:b w:val="0"/>
          <w:i w:val="0"/>
          <w:caps w:val="0"/>
          <w:color w:val="auto"/>
          <w:spacing w:val="0"/>
          <w:w w:val="100"/>
          <w:sz w:val="20"/>
          <w:highlight w:val="none"/>
          <w:lang w:val="en-US" w:eastAsia="zh-CN" w:bidi="en-US"/>
        </w:rPr>
        <w:t>取样，关联的供应商、过磅单号、送货车辆、原材名称、时间等取样信息能实现自动保存。</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8.2.2 原材料检验</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jc w:val="both"/>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8.2.2.1厂站宜</w:t>
      </w:r>
      <w:r>
        <w:rPr>
          <w:rFonts w:hint="default" w:ascii="Times New Roman" w:hAnsi="Times New Roman" w:eastAsia="宋体" w:cs="Times New Roman"/>
          <w:color w:val="000000" w:themeColor="text1"/>
          <w:highlight w:val="none"/>
          <w:lang w:val="en-US" w:eastAsia="zh-CN"/>
          <w14:textFill>
            <w14:solidFill>
              <w14:schemeClr w14:val="tx1"/>
            </w14:solidFill>
          </w14:textFill>
        </w:rPr>
        <w:t>在原</w:t>
      </w:r>
      <w:r>
        <w:rPr>
          <w:rFonts w:hint="default" w:ascii="Times New Roman" w:hAnsi="Times New Roman" w:cs="Times New Roman"/>
          <w:color w:val="000000" w:themeColor="text1"/>
          <w:highlight w:val="none"/>
          <w:lang w:val="en-US" w:eastAsia="zh-CN"/>
          <w14:textFill>
            <w14:solidFill>
              <w14:schemeClr w14:val="tx1"/>
            </w14:solidFill>
          </w14:textFill>
        </w:rPr>
        <w:t>材料</w:t>
      </w:r>
      <w:r>
        <w:rPr>
          <w:rFonts w:hint="default" w:ascii="Times New Roman" w:hAnsi="Times New Roman" w:eastAsia="宋体" w:cs="Times New Roman"/>
          <w:color w:val="000000" w:themeColor="text1"/>
          <w:highlight w:val="none"/>
          <w:lang w:val="en-US" w:eastAsia="zh-CN"/>
          <w14:textFill>
            <w14:solidFill>
              <w14:schemeClr w14:val="tx1"/>
            </w14:solidFill>
          </w14:textFill>
        </w:rPr>
        <w:t>进料口及储藏区设置</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原材料自动检测系统/设备，</w:t>
      </w:r>
      <w:r>
        <w:rPr>
          <w:rFonts w:hint="default" w:ascii="Times New Roman" w:hAnsi="Times New Roman" w:eastAsia="宋体" w:cs="Times New Roman"/>
          <w:color w:val="000000" w:themeColor="text1"/>
          <w:highlight w:val="none"/>
          <w:lang w:val="en-US" w:eastAsia="zh-CN"/>
          <w14:textFill>
            <w14:solidFill>
              <w14:schemeClr w14:val="tx1"/>
            </w14:solidFill>
          </w14:textFill>
        </w:rPr>
        <w:t>根据原材料类型设置采样频率</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检测信息由实验设备自动获取，自动生成包含但不限于各项指标的实测值，并可自动判定检测结果。</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8.2.2.2原材料自动检测系统</w:t>
      </w:r>
      <w:r>
        <w:rPr>
          <w:rFonts w:hint="default" w:ascii="Times New Roman" w:hAnsi="Times New Roman" w:eastAsia="宋体" w:cs="Times New Roman"/>
          <w:color w:val="000000" w:themeColor="text1"/>
          <w:highlight w:val="none"/>
          <w:lang w:val="en-US" w:eastAsia="zh-CN"/>
          <w14:textFill>
            <w14:solidFill>
              <w14:schemeClr w14:val="tx1"/>
            </w14:solidFill>
          </w14:textFill>
        </w:rPr>
        <w:t>应定期进行</w:t>
      </w:r>
      <w:r>
        <w:rPr>
          <w:rFonts w:hint="default" w:ascii="Times New Roman" w:hAnsi="Times New Roman" w:cs="Times New Roman"/>
          <w:color w:val="000000" w:themeColor="text1"/>
          <w:highlight w:val="none"/>
          <w:lang w:val="en-US" w:eastAsia="zh-CN"/>
          <w14:textFill>
            <w14:solidFill>
              <w14:schemeClr w14:val="tx1"/>
            </w14:solidFill>
          </w14:textFill>
        </w:rPr>
        <w:t>自动校准或请具备检定资质的第三方机构进行</w:t>
      </w:r>
      <w:r>
        <w:rPr>
          <w:rFonts w:hint="default" w:ascii="Times New Roman" w:hAnsi="Times New Roman" w:eastAsia="宋体" w:cs="Times New Roman"/>
          <w:color w:val="000000" w:themeColor="text1"/>
          <w:highlight w:val="none"/>
          <w:lang w:val="en-US" w:eastAsia="zh-CN"/>
          <w14:textFill>
            <w14:solidFill>
              <w14:schemeClr w14:val="tx1"/>
            </w14:solidFill>
          </w14:textFill>
        </w:rPr>
        <w:t>检定校准</w:t>
      </w:r>
      <w:r>
        <w:rPr>
          <w:rFonts w:hint="default" w:ascii="Times New Roman" w:hAnsi="Times New Roman" w:cs="Times New Roman"/>
          <w:color w:val="000000" w:themeColor="text1"/>
          <w:highlight w:val="none"/>
          <w:lang w:val="en-US" w:eastAsia="zh-CN"/>
          <w14:textFill>
            <w14:solidFill>
              <w14:schemeClr w14:val="tx1"/>
            </w14:solidFill>
          </w14:textFill>
        </w:rPr>
        <w:t>，确保测量结果的准确性和一致性。</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8.2.2.3厂站宜通过混凝土质量管理系统，记录原材料不合格品和不合格指标等数据，提供后续质量追溯。</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jc w:val="both"/>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8.2.2.4厂站原材料检测合格后，宜通过ERP系统允许进场卸料，并自动将车辆信息关联相应料仓锁。</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8.2.2.5厂站应对所有进场的材料进行批次检测，并将批次检测结果实时记录到混凝土质量管理系统。</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8.2.3生产过程检测</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jc w:val="both"/>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8.2.3.1厂站宜在上料过程和生产过程中使用原材料信息化检测手段，实现对砂石含水、含泥等质量指标的在线实时监测，并将检测数据记录到混凝土质量管理系统，确保生产过程中的原材料质量符合要求。</w:t>
      </w:r>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8.2.4质量数据管控</w:t>
      </w:r>
    </w:p>
    <w:p>
      <w:pPr>
        <w:pStyle w:val="34"/>
        <w:keepNext w:val="0"/>
        <w:keepLines w:val="0"/>
        <w:pageBreakBefore w:val="0"/>
        <w:widowControl w:val="0"/>
        <w:tabs>
          <w:tab w:val="left" w:pos="330"/>
        </w:tabs>
        <w:kinsoku/>
        <w:wordWrap/>
        <w:overflowPunct/>
        <w:topLinePunct w:val="0"/>
        <w:autoSpaceDE/>
        <w:autoSpaceDN/>
        <w:bidi w:val="0"/>
        <w:adjustRightInd/>
        <w:snapToGrid w:val="0"/>
        <w:spacing w:before="0" w:beforeAutospacing="0" w:after="0" w:afterAutospacing="0" w:line="466" w:lineRule="exact"/>
        <w:ind w:firstLine="400" w:firstLineChars="200"/>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8.2.4.1</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厂站</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可上线质量管理系统对质量数据进行集中统一管理，实现原材料质量数据的采集、处理、储存和传输，确保生产过程中原材料、半成品、成品等质量信息可追溯，以及实现实验室的设备、人员等信息管理。</w:t>
      </w:r>
    </w:p>
    <w:p>
      <w:pPr>
        <w:pStyle w:val="3"/>
        <w:snapToGrid w:val="0"/>
        <w:spacing w:before="260" w:beforeAutospacing="0" w:after="260" w:afterAutospacing="0" w:line="416" w:lineRule="auto"/>
        <w:jc w:val="center"/>
        <w:textAlignment w:val="baseline"/>
        <w:rPr>
          <w:rFonts w:hint="default" w:ascii="Times New Roman" w:hAnsi="Times New Roman" w:cs="Times New Roman" w:eastAsiaTheme="majorEastAsia"/>
          <w:b w:val="0"/>
          <w:i w:val="0"/>
          <w:caps w:val="0"/>
          <w:color w:val="000000" w:themeColor="text1"/>
          <w:spacing w:val="0"/>
          <w:w w:val="100"/>
          <w:sz w:val="22"/>
          <w:szCs w:val="24"/>
          <w:highlight w:val="none"/>
          <w:lang w:val="en-US" w:eastAsia="zh-CN" w:bidi="en-US"/>
          <w14:textFill>
            <w14:solidFill>
              <w14:schemeClr w14:val="tx1"/>
            </w14:solidFill>
          </w14:textFill>
        </w:rPr>
      </w:pPr>
      <w:bookmarkStart w:id="81" w:name="_Toc4910"/>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8</w:t>
      </w:r>
      <w:r>
        <w:rPr>
          <w:rFonts w:hint="default" w:ascii="Times New Roman" w:hAnsi="Times New Roman" w:cs="Times New Roman"/>
          <w:b w:val="0"/>
          <w:i w:val="0"/>
          <w:caps w:val="0"/>
          <w:color w:val="000000" w:themeColor="text1"/>
          <w:spacing w:val="0"/>
          <w:w w:val="100"/>
          <w:sz w:val="22"/>
          <w:szCs w:val="24"/>
          <w:highlight w:val="none"/>
          <w:lang w:bidi="en-US"/>
          <w14:textFill>
            <w14:solidFill>
              <w14:schemeClr w14:val="tx1"/>
            </w14:solidFill>
          </w14:textFill>
        </w:rPr>
        <w:t>.</w:t>
      </w:r>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3混凝土质量检测</w:t>
      </w:r>
      <w:bookmarkEnd w:id="78"/>
      <w:bookmarkEnd w:id="79"/>
      <w:bookmarkEnd w:id="81"/>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8.3.1厂站宜采用物联网技术对生产设备进行智慧管理，通过数据中台解析设备相关数据随时掌握设备运行状态，确保计量器具数据准确性，保障预拌混凝土拌和质量。</w:t>
      </w:r>
      <w:bookmarkStart w:id="82" w:name="bookmark93"/>
      <w:bookmarkEnd w:id="82"/>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bookmarkStart w:id="83" w:name="bookmark92"/>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8.3.2</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厂站</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宜在试块制作、脱模、养护、检测环节实现自动化，通过智能化装备完成试块制作，脱模、养护、自动检测，过程数据实时存储到质量管理系统。</w:t>
      </w:r>
      <w:bookmarkEnd w:id="83"/>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8.3.3</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厂站</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应对出厂混凝土容重进行智能监测以管控混凝土质量，自助称重并结合运单数据自动进行数据分析，</w:t>
      </w:r>
      <w:r>
        <w:rPr>
          <w:rFonts w:hint="default" w:ascii="Times New Roman" w:hAnsi="Times New Roman" w:cs="Times New Roman"/>
          <w:b w:val="0"/>
          <w:i w:val="0"/>
          <w:caps w:val="0"/>
          <w:strike w:val="0"/>
          <w:dstrike w:val="0"/>
          <w:color w:val="000000" w:themeColor="text1"/>
          <w:spacing w:val="0"/>
          <w:w w:val="100"/>
          <w:sz w:val="20"/>
          <w:highlight w:val="none"/>
          <w:lang w:val="en-US" w:eastAsia="zh-CN" w:bidi="en-US"/>
          <w14:textFill>
            <w14:solidFill>
              <w14:schemeClr w14:val="tx1"/>
            </w14:solidFill>
          </w14:textFill>
        </w:rPr>
        <w:t>将结果实时反馈给质检并记录到</w:t>
      </w:r>
      <w:r>
        <w:rPr>
          <w:rFonts w:hint="default" w:ascii="Times New Roman" w:hAnsi="Times New Roman" w:cs="Times New Roman"/>
          <w:b w:val="0"/>
          <w:i w:val="0"/>
          <w:caps w:val="0"/>
          <w:strike w:val="0"/>
          <w:color w:val="000000" w:themeColor="text1"/>
          <w:spacing w:val="0"/>
          <w:w w:val="100"/>
          <w:sz w:val="20"/>
          <w:highlight w:val="none"/>
          <w:lang w:val="en-US" w:eastAsia="zh-CN" w:bidi="en-US"/>
          <w14:textFill>
            <w14:solidFill>
              <w14:schemeClr w14:val="tx1"/>
            </w14:solidFill>
          </w14:textFill>
        </w:rPr>
        <w:t>混凝土质量管理系统</w:t>
      </w:r>
      <w:r>
        <w:rPr>
          <w:rFonts w:hint="default" w:ascii="Times New Roman" w:hAnsi="Times New Roman" w:eastAsia="宋体" w:cs="Times New Roman"/>
          <w:i w:val="0"/>
          <w:iCs w:val="0"/>
          <w:caps w:val="0"/>
          <w:strike w:val="0"/>
          <w:dstrike w:val="0"/>
          <w:color w:val="000000" w:themeColor="text1"/>
          <w:spacing w:val="0"/>
          <w:sz w:val="20"/>
          <w:szCs w:val="20"/>
          <w:highlight w:val="none"/>
          <w:shd w:val="clear" w:fill="FDFDFE"/>
          <w:lang w:val="en-US" w:eastAsia="zh-CN"/>
          <w14:textFill>
            <w14:solidFill>
              <w14:schemeClr w14:val="tx1"/>
            </w14:solidFill>
          </w14:textFill>
        </w:rPr>
        <w:t>，</w:t>
      </w:r>
      <w:r>
        <w:rPr>
          <w:rFonts w:hint="default" w:ascii="Times New Roman" w:hAnsi="Times New Roman" w:eastAsia="宋体" w:cs="Times New Roman"/>
          <w:i w:val="0"/>
          <w:iCs w:val="0"/>
          <w:caps w:val="0"/>
          <w:color w:val="000000" w:themeColor="text1"/>
          <w:spacing w:val="0"/>
          <w:sz w:val="20"/>
          <w:szCs w:val="20"/>
          <w:highlight w:val="none"/>
          <w:shd w:val="clear" w:fill="FDFDFE"/>
          <w14:textFill>
            <w14:solidFill>
              <w14:schemeClr w14:val="tx1"/>
            </w14:solidFill>
          </w14:textFill>
        </w:rPr>
        <w:t>以便后续追溯和改进</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w:t>
      </w:r>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8.3.4厂站应实时管控搅拌车的运输路线、进出料口，宜通过信息化手段对偷料、往拌筒内私自加水等行为实行监控，确保</w:t>
      </w:r>
      <w:r>
        <w:rPr>
          <w:rFonts w:hint="default" w:ascii="Times New Roman" w:hAnsi="Times New Roman" w:eastAsia="宋体" w:cs="Times New Roman"/>
          <w:i w:val="0"/>
          <w:iCs w:val="0"/>
          <w:caps w:val="0"/>
          <w:color w:val="000000" w:themeColor="text1"/>
          <w:spacing w:val="0"/>
          <w:sz w:val="20"/>
          <w:szCs w:val="20"/>
          <w:highlight w:val="none"/>
          <w:shd w:val="clear" w:fill="FDFDFE"/>
          <w14:textFill>
            <w14:solidFill>
              <w14:schemeClr w14:val="tx1"/>
            </w14:solidFill>
          </w14:textFill>
        </w:rPr>
        <w:t>凝土质量不受影响</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w:t>
      </w:r>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8.3.5厂站宜安装搅拌主机看料系统，通过摄像头等设备实时查看搅拌主机混凝土性能状态。</w:t>
      </w:r>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8.3.6厂站宜在生产过程中采用自动取样检测手</w:t>
      </w:r>
      <w:r>
        <w:rPr>
          <w:rFonts w:hint="default" w:ascii="Times New Roman" w:hAnsi="Times New Roman" w:cs="Times New Roman"/>
          <w:b w:val="0"/>
          <w:i w:val="0"/>
          <w:caps w:val="0"/>
          <w:color w:val="auto"/>
          <w:spacing w:val="0"/>
          <w:w w:val="100"/>
          <w:sz w:val="20"/>
          <w:highlight w:val="none"/>
          <w:lang w:val="en-US" w:eastAsia="zh-CN" w:bidi="en-US"/>
        </w:rPr>
        <w:t>段，提高试验效率和</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准确性，自动取样并完成坍落度、扩展度检测，并将数据实时保存到</w:t>
      </w:r>
      <w:r>
        <w:rPr>
          <w:rFonts w:hint="default" w:ascii="Times New Roman" w:hAnsi="Times New Roman" w:cs="Times New Roman"/>
          <w:b w:val="0"/>
          <w:i w:val="0"/>
          <w:caps w:val="0"/>
          <w:strike w:val="0"/>
          <w:color w:val="000000" w:themeColor="text1"/>
          <w:spacing w:val="0"/>
          <w:w w:val="100"/>
          <w:sz w:val="20"/>
          <w:highlight w:val="none"/>
          <w:lang w:val="en-US" w:eastAsia="zh-CN" w:bidi="en-US"/>
          <w14:textFill>
            <w14:solidFill>
              <w14:schemeClr w14:val="tx1"/>
            </w14:solidFill>
          </w14:textFill>
        </w:rPr>
        <w:t>混凝土质量管理系统</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，以便后续分析和追溯。</w:t>
      </w:r>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p>
    <w:p>
      <w:pPr>
        <w:rPr>
          <w:rFonts w:hint="default" w:ascii="Times New Roman" w:hAnsi="Times New Roman" w:cs="Times New Roman"/>
          <w:b w:val="0"/>
          <w:i w:val="0"/>
          <w:caps w:val="0"/>
          <w:color w:val="000000" w:themeColor="text1"/>
          <w:spacing w:val="0"/>
          <w:w w:val="100"/>
          <w:sz w:val="28"/>
          <w:szCs w:val="28"/>
          <w:highlight w:val="none"/>
          <w:lang w:val="en-US" w:eastAsia="zh-CN" w:bidi="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8"/>
          <w:szCs w:val="28"/>
          <w:highlight w:val="none"/>
          <w:lang w:val="en-US" w:eastAsia="zh-CN" w:bidi="zh-CN"/>
          <w14:textFill>
            <w14:solidFill>
              <w14:schemeClr w14:val="tx1"/>
            </w14:solidFill>
          </w14:textFill>
        </w:rPr>
        <w:br w:type="page"/>
      </w:r>
    </w:p>
    <w:p>
      <w:pPr>
        <w:pStyle w:val="2"/>
        <w:snapToGrid w:val="0"/>
        <w:spacing w:before="340" w:beforeAutospacing="0" w:after="330" w:afterAutospacing="0" w:line="360" w:lineRule="auto"/>
        <w:jc w:val="center"/>
        <w:textAlignment w:val="baseline"/>
        <w:rPr>
          <w:rFonts w:hint="default" w:ascii="Times New Roman" w:hAnsi="Times New Roman" w:cs="Times New Roman"/>
          <w:b w:val="0"/>
          <w:i w:val="0"/>
          <w:caps w:val="0"/>
          <w:color w:val="000000" w:themeColor="text1"/>
          <w:spacing w:val="0"/>
          <w:w w:val="100"/>
          <w:sz w:val="28"/>
          <w:szCs w:val="28"/>
          <w:highlight w:val="none"/>
          <w:lang w:val="en-US" w:eastAsia="zh-CN" w:bidi="zh-CN"/>
          <w14:textFill>
            <w14:solidFill>
              <w14:schemeClr w14:val="tx1"/>
            </w14:solidFill>
          </w14:textFill>
        </w:rPr>
      </w:pPr>
      <w:bookmarkStart w:id="84" w:name="_Toc11904"/>
      <w:r>
        <w:rPr>
          <w:rFonts w:hint="default" w:ascii="Times New Roman" w:hAnsi="Times New Roman" w:cs="Times New Roman"/>
          <w:b w:val="0"/>
          <w:i w:val="0"/>
          <w:caps w:val="0"/>
          <w:color w:val="000000" w:themeColor="text1"/>
          <w:spacing w:val="0"/>
          <w:w w:val="100"/>
          <w:sz w:val="28"/>
          <w:szCs w:val="28"/>
          <w:highlight w:val="none"/>
          <w:lang w:val="en-US" w:eastAsia="zh-CN" w:bidi="zh-CN"/>
          <w14:textFill>
            <w14:solidFill>
              <w14:schemeClr w14:val="tx1"/>
            </w14:solidFill>
          </w14:textFill>
        </w:rPr>
        <w:t>9  财务及报表</w:t>
      </w:r>
      <w:bookmarkEnd w:id="84"/>
      <w:bookmarkStart w:id="85" w:name="_Toc24322"/>
      <w:bookmarkStart w:id="86" w:name="_Toc28492"/>
    </w:p>
    <w:p>
      <w:pPr>
        <w:pStyle w:val="3"/>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87" w:name="_Toc8794"/>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9.1财务管理</w:t>
      </w:r>
      <w:bookmarkEnd w:id="87"/>
    </w:p>
    <w:p>
      <w:pPr>
        <w:rPr>
          <w:rFonts w:hint="default" w:ascii="Times New Roman" w:hAnsi="Times New Roman" w:cs="Times New Roman"/>
          <w:color w:val="000000" w:themeColor="text1"/>
          <w:highlight w:val="none"/>
          <w:lang w:val="en-US" w:eastAsia="zh-CN"/>
          <w14:textFill>
            <w14:solidFill>
              <w14:schemeClr w14:val="tx1"/>
            </w14:solidFill>
          </w14:textFill>
        </w:rPr>
      </w:pP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9.1.1 信息化财务管理系统</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9.1.1.1厂站应上线信息化的财务管理系统，建立企业全面数据标准化体系，形成业务财务共同认可的数据标准，实现应收账款、应付账款等财务信息的在线查询和分析，为财务资源优化配置提供决策参考。</w:t>
      </w:r>
    </w:p>
    <w:p>
      <w:pPr>
        <w:pStyle w:val="3"/>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bookmarkStart w:id="88" w:name="_Toc969"/>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9.2结算及报表管理</w:t>
      </w:r>
      <w:bookmarkEnd w:id="88"/>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9.2.1 电子结算与效率提升</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9.2.1.1厂站宜集成应用ERP系统和财务信息化系统等，形成从业务数据采集、业务数据集成、业务数据核算、财务收支的数据供应链。</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9.2.2业务报表</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9.2.2.1厂站宜依据企业管理所需格式自动生成统计报表，包含产值、产量、结算等多类型报表。</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9.2.2.2厂站宜根据业务往来情况自动实现应收应付管理，并对应收应付情况进行自动分级预警。</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9.2.2.3厂站宜自动提取支付系统的交易数据，依据交易信息完成收付款管理信息系统，包含但不限于收付双方名称、结算状态、业务类型、资金金额、账户信息、交易信息流水号等信息。</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9.2.2.4厂站宜具备发票和收据自动管理功能，相关信息可与业务实际发生情况进行核验，对异常票据实时预警。</w:t>
      </w:r>
    </w:p>
    <w:p>
      <w:pP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br w:type="page"/>
      </w:r>
    </w:p>
    <w:bookmarkEnd w:id="85"/>
    <w:bookmarkEnd w:id="86"/>
    <w:p>
      <w:pPr>
        <w:pStyle w:val="2"/>
        <w:snapToGrid w:val="0"/>
        <w:spacing w:before="340" w:beforeAutospacing="0" w:after="330" w:afterAutospacing="0" w:line="360" w:lineRule="auto"/>
        <w:jc w:val="center"/>
        <w:textAlignment w:val="baseline"/>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pPr>
      <w:bookmarkStart w:id="89" w:name="_Toc15670"/>
      <w: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t>10前沿技术</w:t>
      </w:r>
      <w:bookmarkEnd w:id="89"/>
    </w:p>
    <w:p>
      <w:pPr>
        <w:pStyle w:val="3"/>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90" w:name="_Toc31159"/>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10.1工艺设计与优化</w:t>
      </w:r>
      <w:bookmarkEnd w:id="90"/>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10.1.1厂站宜建立数据模型，基于质量、成本等数据</w:t>
      </w:r>
      <w:r>
        <w:rPr>
          <w:rFonts w:hint="default" w:ascii="Times New Roman" w:hAnsi="Times New Roman" w:cs="Times New Roman"/>
          <w:b w:val="0"/>
          <w:i w:val="0"/>
          <w:caps w:val="0"/>
          <w:color w:val="auto"/>
          <w:spacing w:val="0"/>
          <w:w w:val="100"/>
          <w:sz w:val="20"/>
          <w:highlight w:val="none"/>
          <w:lang w:val="en-US" w:eastAsia="zh-CN" w:bidi="en-US"/>
        </w:rPr>
        <w:t>运用仿真等</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技术实现对于工艺设计的模拟仿真、迭代优化。</w:t>
      </w:r>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10.1.2厂站宜应用前沿技术（AI、大数据等）开展产品质量检测，提升检测效率和检测水平，构建产品质量管理模型，实现产品质量影响因素识别及缺陷预测性分析。</w:t>
      </w:r>
    </w:p>
    <w:p>
      <w:pPr>
        <w:pStyle w:val="3"/>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91" w:name="_Toc17417"/>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10.2 智能协同</w:t>
      </w:r>
      <w:bookmarkEnd w:id="91"/>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10.2.1厂站宜使用人工智能等前沿技术，实现销售、财务、生产、供应链之间的数字化协同，实现实时销售预测，并自动或半自动制定采购、生产、物流等计划或方案，不断提升柔性化制造水平。</w:t>
      </w:r>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10.2.2厂站宜运用人工智能等前沿技术，建立生产排产与调度算法模型，实现自动给出满足多种约束条件的优化排产方案，形成优化的详细生产作业计划，生产情况实时监测， 提前处理生产过程中的波动和风险，实现动态实时的生产排产和调度。</w:t>
      </w:r>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10.2.3厂站宜运用人工智能等前沿技术，实现采购与内外部供应链之间的数字化协同，并实现供应链风险预警预测，动态优化采购策略和方案。</w:t>
      </w:r>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10.2.4厂站宜运用人工智能等前沿技术，建立数字孪生系统（DT），</w:t>
      </w:r>
      <w:r>
        <w:rPr>
          <w:rFonts w:hint="default" w:ascii="Times New Roman" w:hAnsi="Times New Roman" w:cs="Times New Roman"/>
          <w:b w:val="0"/>
          <w:i w:val="0"/>
          <w:caps w:val="0"/>
          <w:color w:val="auto"/>
          <w:spacing w:val="0"/>
          <w:w w:val="100"/>
          <w:sz w:val="20"/>
          <w:highlight w:val="none"/>
          <w:lang w:val="en-US" w:eastAsia="zh-CN" w:bidi="en-US"/>
        </w:rPr>
        <w:t>实现厂站建模，数据可视</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化呈现，视频监控、关键状态指标与三维场景结合，提升管理透明度和效率。</w:t>
      </w:r>
    </w:p>
    <w:p>
      <w:pPr>
        <w:pStyle w:val="3"/>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92" w:name="_Toc30467"/>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10.3 客户服务</w:t>
      </w:r>
      <w:bookmarkEnd w:id="92"/>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10.3.1厂站宜基于信息系统实现面向客户的精细化管理（如订单管理、配送跟踪、评价投诉等）；或建立客户服务数据模型，实现满足客户需求的高效、精准服务。</w:t>
      </w:r>
    </w:p>
    <w:p>
      <w:pPr>
        <w:pStyle w:val="3"/>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93" w:name="_Toc13302"/>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10.4监控与预警</w:t>
      </w:r>
      <w:bookmarkEnd w:id="93"/>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10.4.1厂站宜运用人工智能等前沿技术建立生产运行监测预警算法模型，实现对生产过程中工艺参数、设备状态、生产过程等生产作业数据的在线分析与实时监测预警，并驱动生产过程的迭代优化与闭环管控，不断优化生产管理。</w:t>
      </w:r>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10.4.2厂站宜建立设备运行模型和设备故障知识库，实现设备故障自动预警及自动制定预测维护解决方案，并基于设备综合效率的分析等驱动工艺优化和生产作业计划优化。</w:t>
      </w:r>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10.4.3厂站宜基于安全作业、风险管控等数据的分析及建模，实现危险源的预防性管理、自动预警及响应处理。</w:t>
      </w:r>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10.4.4厂站宜建立设备能耗监测与优化算法模型，实现设备能耗实时监测、能源转化效率分析、未来能耗预测及能源优化调度等。</w:t>
      </w:r>
    </w:p>
    <w:p>
      <w:pPr>
        <w:pStyle w:val="3"/>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94" w:name="_Toc6247"/>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10.5智能仓储及物流</w:t>
      </w:r>
      <w:bookmarkEnd w:id="94"/>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10.5.1厂站宜使用人工智能等前沿技术，实现仓储物流与供应商库存或客户生产计划间的数字化协同，并能够实现物流计划的自动制定或厂内物料自动配送； 或按照产供销状况，实现智能仓储（如智能预测库存需求，自动调整库存补货策略等）及厂外智能物流（物流监测与策略优化）。</w:t>
      </w:r>
    </w:p>
    <w:p>
      <w:pPr>
        <w:pStyle w:val="3"/>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95" w:name="_Toc616"/>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10.6 智能化办公与决策支持</w:t>
      </w:r>
      <w:bookmarkEnd w:id="95"/>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10.6.1厂站宜应用人工智能等前沿技术实现内部、外部数据的协同，在自动问答、智能推荐、智能预测分析和自适应工作流程等办公场景，组织员工在高度互联和智能化环境中实现无缝协作办公。</w:t>
      </w:r>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10.6.2厂站宜运用人工智能等前沿技术整合企业内外部数据，构建智能化的预测、预警和决策模型，辅助管理层或业务人员进行智能化流程决策，挖掘数据背后的深层次规律和价值。</w:t>
      </w:r>
    </w:p>
    <w:p>
      <w:pP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pPr>
      <w:bookmarkStart w:id="96" w:name="_Toc10526"/>
      <w:bookmarkStart w:id="97" w:name="_Toc16324"/>
      <w: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br w:type="page"/>
      </w:r>
    </w:p>
    <w:p>
      <w:pPr>
        <w:pStyle w:val="2"/>
        <w:snapToGrid w:val="0"/>
        <w:spacing w:before="340" w:beforeAutospacing="0" w:after="330" w:afterAutospacing="0" w:line="360" w:lineRule="auto"/>
        <w:jc w:val="center"/>
        <w:textAlignment w:val="baseline"/>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pPr>
      <w:bookmarkStart w:id="98" w:name="_Toc722"/>
      <w: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t>11分类评价</w:t>
      </w:r>
      <w:bookmarkEnd w:id="96"/>
      <w:bookmarkEnd w:id="97"/>
      <w:bookmarkEnd w:id="98"/>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本导则为适应武汉市行政区域内预拌混凝土企业在信息化水平上的差异性，参照《智能制造能力成熟度模型》对其智能化等级进行合理划分，并制定了相应的分级标准，旨在为厂站提供明确的智能化建设和达标指导。具体的分级评价标准，参见表11-1，评分依据参照附录A。</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jc w:val="center"/>
        <w:textAlignment w:val="baseline"/>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表11-1 武汉市智能化厂站分级依据及评分标准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6595"/>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t>等级</w:t>
            </w:r>
          </w:p>
        </w:tc>
        <w:tc>
          <w:tcPr>
            <w:tcW w:w="6595" w:type="dxa"/>
            <w:vAlign w:val="center"/>
          </w:tcPr>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t>评价要素</w:t>
            </w:r>
          </w:p>
        </w:tc>
        <w:tc>
          <w:tcPr>
            <w:tcW w:w="0" w:type="auto"/>
            <w:vAlign w:val="center"/>
          </w:tcPr>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一级</w:t>
            </w:r>
          </w:p>
          <w:p>
            <w:pPr>
              <w:pStyle w:val="34"/>
              <w:snapToGrid w:val="0"/>
              <w:spacing w:before="0" w:beforeAutospacing="0" w:after="0" w:afterAutospacing="0" w:line="470" w:lineRule="exact"/>
              <w:jc w:val="both"/>
              <w:textAlignment w:val="baseline"/>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（基础级）</w:t>
            </w:r>
          </w:p>
        </w:tc>
        <w:tc>
          <w:tcPr>
            <w:tcW w:w="6595" w:type="dxa"/>
            <w:vAlign w:val="center"/>
          </w:tcPr>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企业应开始对实施智能制造的基础和条件进行规划，能够对核心业务活动(设计、生产、物流、销售、服务)进行流程化管理</w:t>
            </w:r>
          </w:p>
        </w:tc>
        <w:tc>
          <w:tcPr>
            <w:tcW w:w="0" w:type="auto"/>
            <w:vAlign w:val="center"/>
          </w:tcPr>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olor w:val="000000" w:themeColor="text1"/>
                <w:spacing w:val="0"/>
                <w:w w:val="100"/>
                <w:sz w:val="20"/>
                <w:highlight w:val="none"/>
                <w:lang w:val="en-US" w:eastAsia="zh-CN"/>
                <w14:textFill>
                  <w14:solidFill>
                    <w14:schemeClr w14:val="tx1"/>
                  </w14:solidFill>
                </w14:textFill>
              </w:rPr>
            </w:pPr>
            <w:r>
              <w:rPr>
                <w:rFonts w:hint="default" w:ascii="Times New Roman" w:hAnsi="Times New Roman" w:cs="Times New Roman"/>
                <w:b w:val="0"/>
                <w:i w:val="0"/>
                <w:color w:val="000000" w:themeColor="text1"/>
                <w:spacing w:val="0"/>
                <w:w w:val="100"/>
                <w:sz w:val="20"/>
                <w:highlight w:val="none"/>
                <w:lang w:val="en-US" w:eastAsia="zh-CN"/>
                <w14:textFill>
                  <w14:solidFill>
                    <w14:schemeClr w14:val="tx1"/>
                  </w14:solidFill>
                </w14:textFill>
              </w:rPr>
              <w:t>二级</w:t>
            </w:r>
          </w:p>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pPr>
            <w:r>
              <w:rPr>
                <w:rFonts w:hint="default" w:ascii="Times New Roman" w:hAnsi="Times New Roman" w:cs="Times New Roman"/>
                <w:b w:val="0"/>
                <w:i w:val="0"/>
                <w:color w:val="000000" w:themeColor="text1"/>
                <w:spacing w:val="0"/>
                <w:w w:val="100"/>
                <w:sz w:val="20"/>
                <w:highlight w:val="none"/>
                <w:lang w:val="en-US" w:eastAsia="zh-CN"/>
                <w14:textFill>
                  <w14:solidFill>
                    <w14:schemeClr w14:val="tx1"/>
                  </w14:solidFill>
                </w14:textFill>
              </w:rPr>
              <w:t>（规范级）</w:t>
            </w:r>
          </w:p>
        </w:tc>
        <w:tc>
          <w:tcPr>
            <w:tcW w:w="6595" w:type="dxa"/>
            <w:vAlign w:val="center"/>
          </w:tcPr>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企业应采用自动化技术、信息技术手段对核心装备和核心业务活动等进行改造和规</w:t>
            </w:r>
            <w:bookmarkStart w:id="99" w:name="bookmark24"/>
            <w:bookmarkEnd w:id="99"/>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范，实现单一业务活动的数据共享</w:t>
            </w:r>
          </w:p>
        </w:tc>
        <w:tc>
          <w:tcPr>
            <w:tcW w:w="0" w:type="auto"/>
            <w:vAlign w:val="center"/>
          </w:tcPr>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w:t>
            </w:r>
            <w:r>
              <w:rPr>
                <w:rFonts w:hint="default" w:ascii="Times New Roman" w:hAnsi="Times New Roman" w:cs="Times New Roman"/>
                <w:b w:val="0"/>
                <w:i w:val="0"/>
                <w:color w:val="000000" w:themeColor="text1"/>
                <w:spacing w:val="0"/>
                <w:w w:val="100"/>
                <w:sz w:val="20"/>
                <w:highlight w:val="none"/>
                <w:lang w:val="en-US" w:eastAsia="zh-CN"/>
                <w14:textFill>
                  <w14:solidFill>
                    <w14:schemeClr w14:val="tx1"/>
                  </w14:solidFill>
                </w14:textFill>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olor w:val="000000" w:themeColor="text1"/>
                <w:spacing w:val="0"/>
                <w:w w:val="100"/>
                <w:sz w:val="20"/>
                <w:highlight w:val="none"/>
                <w:lang w:val="en-US" w:eastAsia="zh-CN"/>
                <w14:textFill>
                  <w14:solidFill>
                    <w14:schemeClr w14:val="tx1"/>
                  </w14:solidFill>
                </w14:textFill>
              </w:rPr>
            </w:pPr>
            <w:r>
              <w:rPr>
                <w:rFonts w:hint="default" w:ascii="Times New Roman" w:hAnsi="Times New Roman" w:cs="Times New Roman"/>
                <w:b w:val="0"/>
                <w:i w:val="0"/>
                <w:color w:val="000000" w:themeColor="text1"/>
                <w:spacing w:val="0"/>
                <w:w w:val="100"/>
                <w:sz w:val="20"/>
                <w:highlight w:val="none"/>
                <w:lang w:val="en-US" w:eastAsia="zh-CN"/>
                <w14:textFill>
                  <w14:solidFill>
                    <w14:schemeClr w14:val="tx1"/>
                  </w14:solidFill>
                </w14:textFill>
              </w:rPr>
              <w:t>三级</w:t>
            </w:r>
          </w:p>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pPr>
            <w:r>
              <w:rPr>
                <w:rFonts w:hint="default" w:ascii="Times New Roman" w:hAnsi="Times New Roman" w:cs="Times New Roman"/>
                <w:b w:val="0"/>
                <w:i w:val="0"/>
                <w:color w:val="000000" w:themeColor="text1"/>
                <w:spacing w:val="0"/>
                <w:w w:val="100"/>
                <w:sz w:val="20"/>
                <w:highlight w:val="none"/>
                <w:lang w:val="en-US" w:eastAsia="zh-CN"/>
                <w14:textFill>
                  <w14:solidFill>
                    <w14:schemeClr w14:val="tx1"/>
                  </w14:solidFill>
                </w14:textFill>
              </w:rPr>
              <w:t>（集成级）</w:t>
            </w:r>
          </w:p>
        </w:tc>
        <w:tc>
          <w:tcPr>
            <w:tcW w:w="6595" w:type="dxa"/>
            <w:vAlign w:val="center"/>
          </w:tcPr>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企业应对装备、系统等开展集成，实现跨业务活动间的数据共享</w:t>
            </w:r>
          </w:p>
        </w:tc>
        <w:tc>
          <w:tcPr>
            <w:tcW w:w="0" w:type="auto"/>
            <w:vAlign w:val="center"/>
          </w:tcPr>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pPr>
            <w:r>
              <w:rPr>
                <w:rFonts w:hint="default" w:ascii="Times New Roman" w:hAnsi="Times New Roman" w:cs="Times New Roman"/>
                <w:b w:val="0"/>
                <w:i w:val="0"/>
                <w:color w:val="000000" w:themeColor="text1"/>
                <w:spacing w:val="0"/>
                <w:w w:val="100"/>
                <w:sz w:val="20"/>
                <w:highlight w:val="none"/>
                <w:lang w:val="en-US" w:eastAsia="zh-CN"/>
                <w14:textFill>
                  <w14:solidFill>
                    <w14:schemeClr w14:val="tx1"/>
                  </w14:solidFill>
                </w14:textFill>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olor w:val="000000" w:themeColor="text1"/>
                <w:spacing w:val="0"/>
                <w:w w:val="100"/>
                <w:sz w:val="20"/>
                <w:highlight w:val="none"/>
                <w:lang w:val="en-US" w:eastAsia="zh-CN"/>
                <w14:textFill>
                  <w14:solidFill>
                    <w14:schemeClr w14:val="tx1"/>
                  </w14:solidFill>
                </w14:textFill>
              </w:rPr>
            </w:pPr>
            <w:r>
              <w:rPr>
                <w:rFonts w:hint="default" w:ascii="Times New Roman" w:hAnsi="Times New Roman" w:cs="Times New Roman"/>
                <w:b w:val="0"/>
                <w:i w:val="0"/>
                <w:color w:val="000000" w:themeColor="text1"/>
                <w:spacing w:val="0"/>
                <w:w w:val="100"/>
                <w:sz w:val="20"/>
                <w:highlight w:val="none"/>
                <w:lang w:val="en-US" w:eastAsia="zh-CN"/>
                <w14:textFill>
                  <w14:solidFill>
                    <w14:schemeClr w14:val="tx1"/>
                  </w14:solidFill>
                </w14:textFill>
              </w:rPr>
              <w:t>四级</w:t>
            </w:r>
          </w:p>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pPr>
            <w:r>
              <w:rPr>
                <w:rFonts w:hint="default" w:ascii="Times New Roman" w:hAnsi="Times New Roman" w:cs="Times New Roman"/>
                <w:b w:val="0"/>
                <w:i w:val="0"/>
                <w:color w:val="000000" w:themeColor="text1"/>
                <w:spacing w:val="0"/>
                <w:w w:val="100"/>
                <w:sz w:val="20"/>
                <w:highlight w:val="none"/>
                <w:lang w:val="en-US" w:eastAsia="zh-CN"/>
                <w14:textFill>
                  <w14:solidFill>
                    <w14:schemeClr w14:val="tx1"/>
                  </w14:solidFill>
                </w14:textFill>
              </w:rPr>
              <w:t>（引领级）</w:t>
            </w:r>
          </w:p>
        </w:tc>
        <w:tc>
          <w:tcPr>
            <w:tcW w:w="6595" w:type="dxa"/>
            <w:vAlign w:val="center"/>
          </w:tcPr>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pPr>
            <w:r>
              <w:rPr>
                <w:rFonts w:hint="default" w:ascii="Times New Roman" w:hAnsi="Times New Roman" w:cs="Times New Roman"/>
                <w:b w:val="0"/>
                <w:i w:val="0"/>
                <w:color w:val="000000" w:themeColor="text1"/>
                <w:spacing w:val="0"/>
                <w:w w:val="100"/>
                <w:sz w:val="20"/>
                <w:highlight w:val="none"/>
                <w:lang w:val="en-US" w:eastAsia="zh-CN"/>
                <w14:textFill>
                  <w14:solidFill>
                    <w14:schemeClr w14:val="tx1"/>
                  </w14:solidFill>
                </w14:textFill>
              </w:rPr>
              <w:t>企业应对人员、资源、制造等进行数据挖掘，形成知识、模型等，实现对核心业务活动的精准预测和优化，并基于模型持续驱动业务活动的优化和创新，实现产业链协同并衍生新的制造模式和商业模式</w:t>
            </w:r>
          </w:p>
        </w:tc>
        <w:tc>
          <w:tcPr>
            <w:tcW w:w="0" w:type="auto"/>
            <w:vAlign w:val="center"/>
          </w:tcPr>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pPr>
            <w:r>
              <w:rPr>
                <w:rFonts w:hint="default" w:ascii="Times New Roman" w:hAnsi="Times New Roman" w:cs="Times New Roman"/>
                <w:b w:val="0"/>
                <w:i w:val="0"/>
                <w:color w:val="000000" w:themeColor="text1"/>
                <w:spacing w:val="0"/>
                <w:w w:val="100"/>
                <w:sz w:val="20"/>
                <w:highlight w:val="none"/>
                <w:lang w:val="en-US" w:eastAsia="zh-CN"/>
                <w14:textFill>
                  <w14:solidFill>
                    <w14:schemeClr w14:val="tx1"/>
                  </w14:solidFill>
                </w14:textFill>
              </w:rPr>
              <w:t>≥90</w:t>
            </w:r>
          </w:p>
        </w:tc>
      </w:tr>
    </w:tbl>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olor w:val="000000" w:themeColor="text1"/>
          <w:spacing w:val="0"/>
          <w:w w:val="100"/>
          <w:sz w:val="20"/>
          <w:highlight w:val="none"/>
          <w:lang w:val="en-US" w:eastAsia="zh-CN"/>
          <w14:textFill>
            <w14:solidFill>
              <w14:schemeClr w14:val="tx1"/>
            </w14:solidFill>
          </w14:textFill>
        </w:rPr>
      </w:pP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auto"/>
          <w:spacing w:val="0"/>
          <w:w w:val="100"/>
          <w:sz w:val="20"/>
          <w:highlight w:val="none"/>
          <w:lang w:val="en-US" w:eastAsia="zh-CN"/>
        </w:rPr>
      </w:pPr>
      <w:bookmarkStart w:id="100" w:name="_Toc28253"/>
      <w:bookmarkStart w:id="101" w:name="_Toc30681"/>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智能化分级评价体系从基础规定、销售管理、物资管理、生产管理、环境与安全管理、质量管理、财务及报表管理以及前沿技术应用等多个维度对厂站的智能化水平进行综合评估。每一项评价指标都明确了具体的智能化要求，这些要求进一步细分为</w:t>
      </w:r>
      <w:r>
        <w:rPr>
          <w:rFonts w:hint="default" w:ascii="Times New Roman" w:hAnsi="Times New Roman" w:cs="Times New Roman"/>
          <w:b w:val="0"/>
          <w:i w:val="0"/>
          <w:caps w:val="0"/>
          <w:color w:val="auto"/>
          <w:spacing w:val="0"/>
          <w:w w:val="100"/>
          <w:sz w:val="20"/>
          <w:highlight w:val="none"/>
          <w:lang w:val="en-US" w:eastAsia="zh-CN"/>
        </w:rPr>
        <w:t>控制项和优化项。</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auto"/>
          <w:spacing w:val="0"/>
          <w:w w:val="100"/>
          <w:sz w:val="20"/>
          <w:highlight w:val="none"/>
          <w:lang w:val="en-US" w:eastAsia="zh-CN"/>
        </w:rPr>
      </w:pPr>
      <w:r>
        <w:rPr>
          <w:rFonts w:hint="default" w:ascii="Times New Roman" w:hAnsi="Times New Roman" w:cs="Times New Roman"/>
          <w:b w:val="0"/>
          <w:i w:val="0"/>
          <w:caps w:val="0"/>
          <w:color w:val="auto"/>
          <w:spacing w:val="0"/>
          <w:w w:val="100"/>
          <w:sz w:val="20"/>
          <w:highlight w:val="none"/>
          <w:lang w:val="en-US" w:eastAsia="zh-CN"/>
        </w:rPr>
        <w:t>1. 智能化分级评价体系的构建</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控制项：为厂站必须满足的基本要求，是智能化建设的核心内容，确保厂站在关键环节达到基本的智能化标准。</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pPr>
      <w:r>
        <w:rPr>
          <w:rFonts w:hint="default" w:ascii="Times New Roman" w:hAnsi="Times New Roman" w:cs="Times New Roman"/>
          <w:b w:val="0"/>
          <w:i w:val="0"/>
          <w:caps w:val="0"/>
          <w:color w:val="auto"/>
          <w:spacing w:val="0"/>
          <w:w w:val="100"/>
          <w:sz w:val="20"/>
          <w:highlight w:val="none"/>
          <w:lang w:val="en-US" w:eastAsia="zh-CN"/>
        </w:rPr>
        <w:t>优化项：为厂站可以灵活选择的扩展要求，用于进一步提升智能化水平，厂站在满足控制项的基础</w:t>
      </w: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上，通过</w:t>
      </w:r>
      <w:r>
        <w:rPr>
          <w:rFonts w:hint="eastAsia"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优化项</w:t>
      </w: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来积累分数，以满足更高星级的评级要求。</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2. 评级方法与标准</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厂站进行评级时，需遵循逐级评定的原则。具体评级标准如下：</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一级智能化等级：厂站必须满足所有一级控制项的要求。</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二级智能化等级：厂站不仅要满足一级控制项，还需达成二级控制项所设定的标准。</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三级智能化等级：厂站需同时满足一级、二级控制项，以及三级控制项的要求。</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四级智能化等级：厂站需同时满足一级、二级、三级控制项，以及四级控制项的要求。</w:t>
      </w:r>
      <w:r>
        <w:rPr>
          <w:rFonts w:hint="default" w:ascii="Times New Roman" w:hAnsi="Times New Roman" w:cs="Times New Roman"/>
          <w:color w:val="000000" w:themeColor="text1"/>
          <w:highlight w:val="none"/>
          <w:lang w:val="en-US" w:eastAsia="zh-CN"/>
          <w14:textFill>
            <w14:solidFill>
              <w14:schemeClr w14:val="tx1"/>
            </w14:solidFill>
          </w14:textFill>
        </w:rPr>
        <w:br w:type="page"/>
      </w:r>
    </w:p>
    <w:p>
      <w:pPr>
        <w:pStyle w:val="2"/>
        <w:keepNext/>
        <w:keepLines/>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themeColor="text1"/>
          <w:highlight w:val="none"/>
          <w:lang w:val="en-US" w:eastAsia="zh-CN"/>
          <w14:textFill>
            <w14:solidFill>
              <w14:schemeClr w14:val="tx1"/>
            </w14:solidFill>
          </w14:textFill>
        </w:rPr>
        <w:sectPr>
          <w:pgSz w:w="11900" w:h="16840"/>
          <w:pgMar w:top="1463" w:right="1264" w:bottom="1939" w:left="1729" w:header="1032" w:footer="850" w:gutter="0"/>
          <w:pgNumType w:fmt="decimal"/>
          <w:cols w:space="0" w:num="1"/>
          <w:rtlGutter w:val="0"/>
          <w:docGrid w:linePitch="360" w:charSpace="0"/>
        </w:sectPr>
      </w:pPr>
    </w:p>
    <w:p>
      <w:pPr>
        <w:pStyle w:val="2"/>
        <w:keepNext/>
        <w:keepLines/>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102" w:name="_Toc30974"/>
      <w:r>
        <w:rPr>
          <w:rFonts w:hint="default" w:ascii="Times New Roman" w:hAnsi="Times New Roman" w:cs="Times New Roman"/>
          <w:color w:val="000000" w:themeColor="text1"/>
          <w:sz w:val="28"/>
          <w:szCs w:val="28"/>
          <w:highlight w:val="none"/>
          <w:lang w:val="en-US" w:eastAsia="zh-CN"/>
          <w14:textFill>
            <w14:solidFill>
              <w14:schemeClr w14:val="tx1"/>
            </w14:solidFill>
          </w14:textFill>
        </w:rPr>
        <w:t>附录A《武汉市预拌混凝土厂站智能化技术导则》分级评价表</w:t>
      </w:r>
      <w:bookmarkEnd w:id="102"/>
    </w:p>
    <w:p>
      <w:pPr>
        <w:bidi w:val="0"/>
        <w:rPr>
          <w:rFonts w:hint="default" w:ascii="Times New Roman" w:hAnsi="Times New Roman" w:cs="Times New Roman"/>
          <w:color w:val="000000" w:themeColor="text1"/>
          <w:highlight w:val="none"/>
          <w:lang w:val="en-US" w:eastAsia="zh-CN"/>
          <w14:textFill>
            <w14:solidFill>
              <w14:schemeClr w14:val="tx1"/>
            </w14:solidFill>
          </w14:textFill>
        </w:rPr>
      </w:pPr>
    </w:p>
    <w:tbl>
      <w:tblPr>
        <w:tblStyle w:val="1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7"/>
        <w:gridCol w:w="1056"/>
        <w:gridCol w:w="675"/>
        <w:gridCol w:w="1103"/>
        <w:gridCol w:w="427"/>
        <w:gridCol w:w="897"/>
        <w:gridCol w:w="4105"/>
        <w:gridCol w:w="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序号</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一级指标</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二级指标</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项目</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分值</w:t>
            </w:r>
          </w:p>
        </w:tc>
        <w:tc>
          <w:tcPr>
            <w:tcW w:w="5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指标类型</w:t>
            </w:r>
          </w:p>
        </w:tc>
        <w:tc>
          <w:tcPr>
            <w:tcW w:w="2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评分标准</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highlight w:val="none"/>
                <w:u w:val="none"/>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highlight w:val="none"/>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highlight w:val="none"/>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highlight w:val="none"/>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highlight w:val="none"/>
                <w:u w:val="none"/>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highlight w:val="none"/>
                <w:u w:val="none"/>
              </w:rPr>
            </w:pPr>
          </w:p>
        </w:tc>
        <w:tc>
          <w:tcPr>
            <w:tcW w:w="2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highlight w:val="none"/>
                <w:u w:val="none"/>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基础设施</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软硬件设施</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软硬件设施</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一级控制项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建立网络与通信系统（2分）（见3.2.3）、具备搅拌主机、传送皮带等设备状态监控功能（1分）（见3.2.5）、计量系统（1分）（见3.2.6）。</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优化项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具备专业办公软件等基础信息化系统（1分）（见3.2.1.1）</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制造执行</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MES系统</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一级控制项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厂站工控系统具备生产提前称量、计量、自动修正的功能（1分）（见6.2.1.2）、支持ERP等外部系统对其进行数据采集（1分）（见6.2.1.3）、具备实时监控与预警功能（1分）（见6.2.2）。满足散预信息化平台数据上传要求（1分）。</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优化项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厂站工控系统应具备全自动生产功能，实现生产过程无人控制（1分）（见6.2.1.1）。</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厂站管理平台</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ERP系统</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一级控制项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厂站ERP系统具备部分物资管理功能（10分）（见5.1.1、5.1.2）、生产计划管理功能（10分）（见6.1.2、6.1.3）、技术管理功能（10分）（见8.1）</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6</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三级控制项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厂站ERP系统具备车辆自动进出厂管理功能（2分）（6.1.4）</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7</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网络安全建设</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专业杀毒软件</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一级控制项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在工控电脑、ERP服务器设置专业杀毒软件（2分）（见3.3.1）</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8</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优化项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在所有计算机设备设置专业杀毒软件（1分）（见3.3.1）</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防火墙设备</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二级控制项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设置企业级防火墙设备（1分）（见3.3.1）</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销售管理</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销售信息化</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销售信息化系统</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二级控制项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销售信息化系统具备对客户基本信息及交易记录、信用状况等信息的管理功能、具备销售合同线上录入、评审等管理功能（1分）（见4.1）</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互联网+</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产业链协同线上化</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三级控制项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厂站实现接入互联网+平台，实现原材料采购或产品销售的线上化，实现传统业务、信息技术与金融资本的高效协同（1分）（见4.1.3.2）</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客户关系管理</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客户关系管理系统（CRM）</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四级控制项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具备客户关系管理系统（CRM），对营销线索、客户管理、履约监控等业务进行全流程数字化管理，实现客户全生命周期管理（1分）（见4.2.2）</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13</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项目客服</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项目客服系统</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三级控制项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具备项目客服系统，实现混凝土采购计划下达、签收、结算（1分）（见4.2.3.2）</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14</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优化项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实现风险智能预警、全过程智能监控（1分）（见4.2.3.2）</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物资管理</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智能仓储</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智能过磅系统</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二级控制项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材料车进出场环节实现上磅后摄像头自动识别车辆信息（包括车牌号、供应商、本车原材料信息、过磅数据等）（1分）（见5.2.2）</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16</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三级控制项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智能过磅系统可根据原材料库存情况实现粉料智能开锁、自动分仓、磅房无人值守（1分）（见5.3.1）</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17</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粉料仓储系统</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三级控制项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具备料仓监测系统，自动采集罐内、货仓料位相关信息，实时监测罐内、货仓情况，可对储罐状态异常自动报警（1分）（见5.3.2）</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18</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优化项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实现与智能过磅系统的数据贯通，与车辆出厂过磅进行数据联动，实现料仓锁开启/关闭（1分）（见5.3.2）</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19</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液剂仓储系统</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优化项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具备料仓监测系统，实时监测罐内、货仓情况，可对储罐状态异常自动报警（1分）（见5.3.2）</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20</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生产管理</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运营监控中心</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可视化数据大屏</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三级控制项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具备可视化数字大屏运营指挥中心，集中呈现厂站生产数据、运营数据、车辆信息、生产资源等业务数据（1分）（见6.1.1）</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21</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视频监控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视频监控平台</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一级控制项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厂站关键部位试配室、搅拌机卸料口、搅拌楼出入口、磅房仪表显示处等位置配置视频监控设备（7分）（见3.2.4）。厂站的视频监控系统符合散预信息化平台接入技术要求（2分）（见3.1.3）</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22</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智能调度</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 智能排产系统</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四级控制项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系统可依据生产数量、交期等约束条件自动生成主生产计划、可结合厂站生产能力、设备状态、物料资源、生产组织、运力等信息自动安排执行生产计划（2分）（见6.1.2.4）</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23</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车辆排队系统</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二级控制项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系统可基于车载定位技术，实现车辆线上出站、回站，通过车辆排队LED显示屏或手机端实现自动排队（1分）（见6.3.1.2）</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24</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智能运输交付</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8</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一级控制项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物流车辆安装符合808协议标准的北斗定位系统和传感器，可实时获取定位、正反转等信息（5分）；可与外部系统实现数据互通，可传输至散预信息化平台（2分）（见6.3.2）</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25</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优化项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系统可对预拌混凝土物流车辆途中卸料、疲劳驾驶、视野盲区等问题实现自动预警，异常信息自动存档、上报到监管人员移动端或Web端软件，及时进行处理（1分）（见6.3.2）</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26</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环境与安全</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环境管理</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环境在线监测系统</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二级控制项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厂站在关键部位设置噪声、粉尘、风速和气温传感器，实现环境监测数据实时监测（3分）（见7.1.1.3）</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27</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清洁生产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自动除尘装置</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二级控制项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厂站在粉料筒仓、主机楼搅拌机设置自动除尘装置（3分）（见7.1.1.1）</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28</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厂区清洁装置</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优化项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建设封闭式料仓并配备自动喷淋设施，在厂区内配备智能雾桩/雾炮车（1分）（见7.1.1.2）</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29</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废水、废浆处理</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优化项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在废水、废浆处理装置处设置传感器，实时监测废水固含量、pH值等参数（1分）（见7.1.1.3）</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30</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安全管理</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安全预警系统</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二级控制项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厂站依据危险源的安全等级，部署电子栅栏（1分）（见7.2.3）</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31</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优化项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具备安全预警系统，实现危险区域非法闯入预警功能（1分）（见7.2.3）</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32</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安全作业系统</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二级控制项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具备安全作业审批系统，对重要设备和危险设备的维修作业进行线上审批，实现对搅拌机维修作业过程的安全控制（2分）（见7.2.2）</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33</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优化项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实现其他重要安全作业，并驱动设备传动、供电等设备，实现对作业过程的安全控制（1分）（见7.2.2）</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34</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质量管理</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质量管理</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质量管理系统</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四级控制项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具备质量管理系统，实现混凝土生产全过程质量信息的采集、统计分析、监控、预警等功能（1分）（见8.2.4）</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35</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优化项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实现实验室的设备、人员等信息管理功能（1分）（见8.2.4）</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36</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搅拌主机看料系统</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优化项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具备搅拌机主机看料系统，实现生产过程中，质检员可查看搅拌主机混凝土性能状态（1分）（见8.3.5）</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37</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原材料自动取样系统</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四级控制项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具备原材料自动取样系统，实现一种及以上原材料自动取样（1分）（见8.2.1）</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38</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原材料自动检测系统</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四级控制项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具备原材料自动检测系统，实现一种及以上原材料的自动检测并判定检测结果（1分）（见8.2.2）</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39</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混凝土试件抗压强度智能检测系统</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四级控制项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具备混凝土试件抗压强度智能检测系统，实现混凝土试件制作、脱模、养护、试压处置等实验的智能化处理。实现一种及以上流程智能化得1分（见8.3.2）</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40</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财务及报表</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财务信息化</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信息化财务管理系统</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547"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优化项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具备财务管理系统，系统具备业务财务共同认可的数据标准，实现应收账款、应付账款等财务信息的在线查询和分析功能（1分）（见9.1.1）</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41</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业务与财务融合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业务与财务融合</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优化项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集成应用ERP系统和财务信息化系统等，形成从业务数据采集、业务数据集成、业务数据核算、财务收支的数据供应链（1分）（见9.2.1）</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42</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前沿技术</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厂站数字孪生</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厂站数字孪生</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优化项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建立数字孪生系统（DT），实现可数字化呈现厂站视频监控、关键状态指标与三维场景结合（1分）（见10.2.4）</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43</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其他</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其他</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优化项</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厂站通过人工智能、大数据等新一代信息技术，建立业务模型、商业智能等智能系统，辅助企业挖掘数据价值，打造数据驱动企业创新应用场景，为企业快速提供决策全链路的构建、管理及服务，助力企业发展（1分）（见第10章）</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r>
    </w:tbl>
    <w:p>
      <w:pPr>
        <w:bidi w:val="0"/>
        <w:rPr>
          <w:rFonts w:hint="default" w:ascii="Times New Roman" w:hAnsi="Times New Roman" w:cs="Times New Roman"/>
          <w:color w:val="000000" w:themeColor="text1"/>
          <w:highlight w:val="none"/>
          <w:lang w:val="en-US" w:eastAsia="zh-CN"/>
          <w14:textFill>
            <w14:solidFill>
              <w14:schemeClr w14:val="tx1"/>
            </w14:solidFill>
          </w14:textFill>
        </w:rPr>
        <w:sectPr>
          <w:pgSz w:w="11900" w:h="16840"/>
          <w:pgMar w:top="1463" w:right="1264" w:bottom="1939" w:left="1729" w:header="1032" w:footer="850" w:gutter="0"/>
          <w:pgNumType w:fmt="decimal"/>
          <w:cols w:space="0" w:num="1"/>
          <w:rtlGutter w:val="0"/>
          <w:docGrid w:linePitch="360" w:charSpace="0"/>
        </w:sectPr>
      </w:pPr>
    </w:p>
    <w:bookmarkEnd w:id="100"/>
    <w:bookmarkEnd w:id="101"/>
    <w:p>
      <w:pPr>
        <w:pStyle w:val="2"/>
        <w:keepNext/>
        <w:keepLines/>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103" w:name="_Toc22576"/>
      <w:r>
        <w:rPr>
          <w:rFonts w:hint="default" w:ascii="Times New Roman" w:hAnsi="Times New Roman" w:cs="Times New Roman"/>
          <w:color w:val="000000" w:themeColor="text1"/>
          <w:sz w:val="28"/>
          <w:szCs w:val="28"/>
          <w:highlight w:val="none"/>
          <w:lang w:val="en-US" w:eastAsia="zh-CN"/>
          <w14:textFill>
            <w14:solidFill>
              <w14:schemeClr w14:val="tx1"/>
            </w14:solidFill>
          </w14:textFill>
        </w:rPr>
        <w:t>附录B《武汉市预拌混凝土厂站智能化技术导则》</w:t>
      </w:r>
      <w:r>
        <w:rPr>
          <w:rFonts w:hint="eastAsia" w:ascii="Times New Roman" w:hAnsi="Times New Roman" w:cs="Times New Roman"/>
          <w:color w:val="000000" w:themeColor="text1"/>
          <w:sz w:val="28"/>
          <w:szCs w:val="28"/>
          <w:highlight w:val="none"/>
          <w:lang w:val="en-US" w:eastAsia="zh-CN"/>
          <w14:textFill>
            <w14:solidFill>
              <w14:schemeClr w14:val="tx1"/>
            </w14:solidFill>
          </w14:textFill>
        </w:rPr>
        <w:t>设备及软件目录</w:t>
      </w:r>
      <w:bookmarkEnd w:id="103"/>
    </w:p>
    <w:p>
      <w:pPr>
        <w:rPr>
          <w:rFonts w:hint="default" w:ascii="Times New Roman" w:hAnsi="Times New Roman" w:cs="Times New Roman"/>
          <w:color w:val="000000" w:themeColor="text1"/>
          <w:highlight w:val="none"/>
          <w:lang w:val="en-US" w:eastAsia="zh-CN"/>
          <w14:textFill>
            <w14:solidFill>
              <w14:schemeClr w14:val="tx1"/>
            </w14:solidFill>
          </w14:textFill>
        </w:rPr>
      </w:pP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7"/>
        <w:gridCol w:w="1016"/>
        <w:gridCol w:w="988"/>
        <w:gridCol w:w="1545"/>
        <w:gridCol w:w="2996"/>
        <w:gridCol w:w="21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bookmarkStart w:id="104" w:name="bookmark131"/>
            <w:bookmarkStart w:id="105" w:name="bookmark130"/>
            <w:bookmarkStart w:id="106" w:name="bookmark133"/>
            <w:bookmarkStart w:id="107" w:name="_Toc23682"/>
            <w:bookmarkStart w:id="108" w:name="_Toc59121551"/>
            <w:bookmarkStart w:id="109" w:name="_Toc17955"/>
            <w:bookmarkStart w:id="110" w:name="_Toc59122516"/>
            <w:r>
              <w:rPr>
                <w:rFonts w:hint="default" w:ascii="Times New Roman" w:hAnsi="Times New Roman" w:eastAsia="宋体" w:cs="Times New Roman"/>
                <w:b/>
                <w:bCs/>
                <w:i w:val="0"/>
                <w:iCs w:val="0"/>
                <w:color w:val="000000"/>
                <w:kern w:val="0"/>
                <w:sz w:val="20"/>
                <w:szCs w:val="20"/>
                <w:highlight w:val="none"/>
                <w:u w:val="none"/>
                <w:lang w:val="en-US" w:eastAsia="zh-CN" w:bidi="ar"/>
              </w:rPr>
              <w:t>序号</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highlight w:val="none"/>
                <w:u w:val="none"/>
                <w:lang w:val="en-US" w:eastAsia="zh-CN" w:bidi="ar"/>
              </w:rPr>
            </w:pPr>
            <w:r>
              <w:rPr>
                <w:rFonts w:hint="default" w:ascii="Times New Roman" w:hAnsi="Times New Roman" w:eastAsia="宋体" w:cs="Times New Roman"/>
                <w:b/>
                <w:bCs/>
                <w:i w:val="0"/>
                <w:iCs w:val="0"/>
                <w:color w:val="000000"/>
                <w:kern w:val="0"/>
                <w:sz w:val="20"/>
                <w:szCs w:val="20"/>
                <w:highlight w:val="none"/>
                <w:u w:val="none"/>
                <w:lang w:val="en-US" w:eastAsia="zh-CN" w:bidi="ar"/>
              </w:rPr>
              <w:t>一级</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指标</w:t>
            </w:r>
          </w:p>
        </w:tc>
        <w:tc>
          <w:tcPr>
            <w:tcW w:w="5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二级指标</w:t>
            </w:r>
          </w:p>
        </w:tc>
        <w:tc>
          <w:tcPr>
            <w:tcW w:w="8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项目</w:t>
            </w:r>
          </w:p>
        </w:tc>
        <w:tc>
          <w:tcPr>
            <w:tcW w:w="16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设备及系统</w:t>
            </w:r>
          </w:p>
        </w:tc>
        <w:tc>
          <w:tcPr>
            <w:tcW w:w="12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常见品牌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highlight w:val="none"/>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highlight w:val="none"/>
                <w:u w:val="none"/>
              </w:rPr>
            </w:pPr>
          </w:p>
        </w:tc>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highlight w:val="none"/>
                <w:u w:val="none"/>
              </w:rPr>
            </w:pP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highlight w:val="none"/>
                <w:u w:val="none"/>
              </w:rPr>
            </w:pPr>
          </w:p>
        </w:tc>
        <w:tc>
          <w:tcPr>
            <w:tcW w:w="1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highlight w:val="none"/>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4"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基础</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设施</w:t>
            </w:r>
          </w:p>
        </w:tc>
        <w:tc>
          <w:tcPr>
            <w:tcW w:w="5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软硬件设施</w:t>
            </w:r>
          </w:p>
        </w:tc>
        <w:tc>
          <w:tcPr>
            <w:tcW w:w="8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软硬件设施</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强、弱电系统</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施耐德、正泰、公牛、普联等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办公软件</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66"/>
                <w:rFonts w:hint="default" w:ascii="Times New Roman" w:hAnsi="Times New Roman" w:eastAsia="宋体" w:cs="Times New Roman"/>
                <w:color w:val="000000"/>
                <w:sz w:val="20"/>
                <w:szCs w:val="20"/>
                <w:highlight w:val="none"/>
                <w:lang w:val="en-US" w:eastAsia="zh-CN" w:bidi="ar"/>
              </w:rPr>
              <w:t>WPS</w:t>
            </w:r>
            <w:r>
              <w:rPr>
                <w:rStyle w:val="67"/>
                <w:rFonts w:hint="default" w:ascii="Times New Roman" w:hAnsi="Times New Roman" w:cs="Times New Roman"/>
                <w:color w:val="000000"/>
                <w:sz w:val="20"/>
                <w:szCs w:val="20"/>
                <w:highlight w:val="none"/>
                <w:lang w:val="en-US" w:eastAsia="zh-CN" w:bidi="ar"/>
              </w:rPr>
              <w:t>、泛微等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6"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制造执行</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b w:val="0"/>
                <w:i w:val="0"/>
                <w:caps w:val="0"/>
                <w:strike w:val="0"/>
                <w:dstrike w:val="0"/>
                <w:color w:val="000000" w:themeColor="text1"/>
                <w:spacing w:val="0"/>
                <w:w w:val="100"/>
                <w:sz w:val="20"/>
                <w:szCs w:val="20"/>
                <w:highlight w:val="none"/>
                <w:lang w:val="en-US" w:eastAsia="zh-CN" w:bidi="en-US"/>
                <w14:textFill>
                  <w14:solidFill>
                    <w14:schemeClr w14:val="tx1"/>
                  </w14:solidFill>
                </w14:textFill>
              </w:rPr>
              <w:t xml:space="preserve">制造执行系统 </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混凝土制造工业控制，包括硬件和软件系统</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三一、中联、博硕、思伟等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4</w:t>
            </w: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厂站管理平台</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b w:val="0"/>
                <w:i w:val="0"/>
                <w:caps w:val="0"/>
                <w:color w:val="000000" w:themeColor="text1"/>
                <w:spacing w:val="0"/>
                <w:w w:val="100"/>
                <w:sz w:val="20"/>
                <w:szCs w:val="20"/>
                <w:highlight w:val="none"/>
                <w:lang w:val="en-US" w:eastAsia="zh-CN" w:bidi="en-US"/>
                <w14:textFill>
                  <w14:solidFill>
                    <w14:schemeClr w14:val="tx1"/>
                  </w14:solidFill>
                </w14:textFill>
              </w:rPr>
              <w:t>企业资源计划管理</w:t>
            </w:r>
            <w:r>
              <w:rPr>
                <w:rStyle w:val="68"/>
                <w:rFonts w:hint="default" w:ascii="Times New Roman" w:hAnsi="Times New Roman" w:cs="Times New Roman"/>
                <w:color w:val="000000"/>
                <w:sz w:val="20"/>
                <w:szCs w:val="20"/>
                <w:highlight w:val="none"/>
                <w:lang w:val="en-US" w:eastAsia="zh-CN" w:bidi="ar"/>
              </w:rPr>
              <w:t>系统</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67"/>
                <w:rFonts w:hint="default" w:ascii="Times New Roman" w:hAnsi="Times New Roman" w:cs="Times New Roman"/>
                <w:color w:val="000000"/>
                <w:sz w:val="20"/>
                <w:szCs w:val="20"/>
                <w:highlight w:val="none"/>
                <w:lang w:val="en-US" w:eastAsia="zh-CN" w:bidi="ar"/>
              </w:rPr>
              <w:t>混凝土制造</w:t>
            </w:r>
            <w:r>
              <w:rPr>
                <w:rStyle w:val="66"/>
                <w:rFonts w:hint="default" w:ascii="Times New Roman" w:hAnsi="Times New Roman" w:eastAsia="宋体" w:cs="Times New Roman"/>
                <w:color w:val="000000"/>
                <w:sz w:val="20"/>
                <w:szCs w:val="20"/>
                <w:highlight w:val="none"/>
                <w:lang w:val="en-US" w:eastAsia="zh-CN" w:bidi="ar"/>
              </w:rPr>
              <w:t>ERP</w:t>
            </w:r>
            <w:r>
              <w:rPr>
                <w:rStyle w:val="67"/>
                <w:rFonts w:hint="default" w:ascii="Times New Roman" w:hAnsi="Times New Roman" w:cs="Times New Roman"/>
                <w:color w:val="000000"/>
                <w:sz w:val="20"/>
                <w:szCs w:val="20"/>
                <w:highlight w:val="none"/>
                <w:lang w:val="en-US" w:eastAsia="zh-CN" w:bidi="ar"/>
              </w:rPr>
              <w:t>系统</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中建商砼、思伟、中联、博硕等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网络安全建设</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专业杀毒软件</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国产杀毒软件</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北信源、奇安信等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防火墙设备</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国产防火墙硬件和软件</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深信服、冰峰等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销售</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管理</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销售信息化</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销售信息化系统</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销售管理信息系统或ERP销售管理功能</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中建商砼、思伟、中联、博硕等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68"/>
                <w:rFonts w:hint="default" w:ascii="Times New Roman" w:hAnsi="Times New Roman" w:cs="Times New Roman"/>
                <w:color w:val="000000"/>
                <w:sz w:val="20"/>
                <w:szCs w:val="20"/>
                <w:highlight w:val="none"/>
                <w:lang w:val="en-US" w:eastAsia="zh-CN" w:bidi="ar"/>
              </w:rPr>
              <w:t>互联网</w:t>
            </w:r>
            <w:r>
              <w:rPr>
                <w:rFonts w:hint="default" w:ascii="Times New Roman" w:hAnsi="Times New Roman" w:eastAsia="宋体" w:cs="Times New Roman"/>
                <w:i w:val="0"/>
                <w:iCs w:val="0"/>
                <w:color w:val="000000"/>
                <w:kern w:val="0"/>
                <w:sz w:val="20"/>
                <w:szCs w:val="20"/>
                <w:highlight w:val="none"/>
                <w:u w:val="none"/>
                <w:lang w:val="en-US" w:eastAsia="zh-CN" w:bidi="ar"/>
              </w:rPr>
              <w:t>+</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产业链协同线上化</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混凝土行业产业链平台</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云筑网、砼联科技等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客户关系管理</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68"/>
                <w:rFonts w:hint="default" w:ascii="Times New Roman" w:hAnsi="Times New Roman" w:cs="Times New Roman"/>
                <w:color w:val="000000"/>
                <w:sz w:val="20"/>
                <w:szCs w:val="20"/>
                <w:highlight w:val="none"/>
                <w:lang w:val="en-US" w:eastAsia="zh-CN" w:bidi="ar"/>
              </w:rPr>
              <w:t>客户关系管理系统（</w:t>
            </w:r>
            <w:r>
              <w:rPr>
                <w:rFonts w:hint="default" w:ascii="Times New Roman" w:hAnsi="Times New Roman" w:eastAsia="宋体" w:cs="Times New Roman"/>
                <w:i w:val="0"/>
                <w:iCs w:val="0"/>
                <w:color w:val="000000"/>
                <w:kern w:val="0"/>
                <w:sz w:val="20"/>
                <w:szCs w:val="20"/>
                <w:highlight w:val="none"/>
                <w:u w:val="none"/>
                <w:lang w:val="en-US" w:eastAsia="zh-CN" w:bidi="ar"/>
              </w:rPr>
              <w:t>CRM</w:t>
            </w:r>
            <w:r>
              <w:rPr>
                <w:rStyle w:val="68"/>
                <w:rFonts w:hint="default" w:ascii="Times New Roman" w:hAnsi="Times New Roman" w:cs="Times New Roman"/>
                <w:color w:val="000000"/>
                <w:sz w:val="20"/>
                <w:szCs w:val="20"/>
                <w:highlight w:val="none"/>
                <w:lang w:val="en-US" w:eastAsia="zh-CN" w:bidi="ar"/>
              </w:rPr>
              <w:t>）</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67"/>
                <w:rFonts w:hint="default" w:ascii="Times New Roman" w:hAnsi="Times New Roman" w:cs="Times New Roman"/>
                <w:color w:val="000000"/>
                <w:sz w:val="20"/>
                <w:szCs w:val="20"/>
                <w:highlight w:val="none"/>
                <w:lang w:val="en-US" w:eastAsia="zh-CN" w:bidi="ar"/>
              </w:rPr>
              <w:t>客户关系管理系统或</w:t>
            </w:r>
            <w:r>
              <w:rPr>
                <w:rStyle w:val="66"/>
                <w:rFonts w:hint="default" w:ascii="Times New Roman" w:hAnsi="Times New Roman" w:eastAsia="宋体" w:cs="Times New Roman"/>
                <w:color w:val="000000"/>
                <w:sz w:val="20"/>
                <w:szCs w:val="20"/>
                <w:highlight w:val="none"/>
                <w:lang w:val="en-US" w:eastAsia="zh-CN" w:bidi="ar"/>
              </w:rPr>
              <w:t>ERP</w:t>
            </w:r>
            <w:r>
              <w:rPr>
                <w:rStyle w:val="67"/>
                <w:rFonts w:hint="default" w:ascii="Times New Roman" w:hAnsi="Times New Roman" w:cs="Times New Roman"/>
                <w:color w:val="000000"/>
                <w:sz w:val="20"/>
                <w:szCs w:val="20"/>
                <w:highlight w:val="none"/>
                <w:lang w:val="en-US" w:eastAsia="zh-CN" w:bidi="ar"/>
              </w:rPr>
              <w:t>客户关系管理功能</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金蝶、中建商砼等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项目客服</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项目客服系统</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客户服务系统或ERP客服功能</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中建商砼、三局云砼等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物资管理</w:t>
            </w:r>
          </w:p>
        </w:tc>
        <w:tc>
          <w:tcPr>
            <w:tcW w:w="5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智能仓储</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智能过磅系统</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智能过磅系统</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中建商砼、博硕等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粉料仓储系统</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粉料仓储系统</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博硕、潜合等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液剂仓储系统</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液剂仓储系统</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博硕、潜合等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生产管理</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运营监控中心</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可视化数据大屏</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数据可视化大屏</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帆软、中建商砼等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视频监控</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视频监控平台</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站内视频监控</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海康威视、大华等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智能调度</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 </w:t>
            </w:r>
            <w:r>
              <w:rPr>
                <w:rStyle w:val="68"/>
                <w:rFonts w:hint="default" w:ascii="Times New Roman" w:hAnsi="Times New Roman" w:cs="Times New Roman"/>
                <w:color w:val="000000"/>
                <w:sz w:val="20"/>
                <w:szCs w:val="20"/>
                <w:highlight w:val="none"/>
                <w:lang w:val="en-US" w:eastAsia="zh-CN" w:bidi="ar"/>
              </w:rPr>
              <w:t>智能排产系统</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智能排产系统</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中建商砼、博硕等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车辆排队系统</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车辆排队系统或ERP车辆排队功能</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中建商砼、博硕、思伟等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智能运输交付</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车辆定位监控系统或ERP车辆定位监控功能</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博硕、思伟等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环境与安全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环境管理</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环境在线监测系统</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环境在线监测系统</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清洁生产</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自动除尘装置</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搅拌楼设备集成自动除尘装备</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三一、中联、博硕等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厂区清洁装置</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雾炮机、自动喷淋设备</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废水、废浆处理</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废水、废浆监测传感器以及相应系统</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安全管理</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安全预警系统</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安全预警系统</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海康威视、中联重科等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安全作业系统</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安全作业审批管理系统或功能</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中建商砼、博硕等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质量管理</w:t>
            </w:r>
          </w:p>
        </w:tc>
        <w:tc>
          <w:tcPr>
            <w:tcW w:w="5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质量管理</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质量管理系统</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质量管理系统</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中建商砼、富思特等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搅拌主机看料系统</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搅拌机内部搅拌视频监控系统</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博硕、三和、中联重科等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原材料自动取样系统</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原材料进厂自动取样系统</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西部建设等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28</w:t>
            </w: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原材料自动检测系统</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原材料自动检测系统</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西部建设等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混凝土试件抗压强度智能检测系统</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混凝土自动抗压检测系统</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西部建设等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财务及报表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财务信息化</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信息化财务管理系统</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财务软件管理系统</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用友、金蝶、浪潮等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业务与财务融合</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业务与财务融合</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财务系统与ERP系统实现数据交互，避免数据重复录入</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中建商砼等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前沿技术</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厂站数字孪生</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厂站数字孪生</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搅拌站数字孪生系统</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灵图互动等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其他</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其他</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大模型等人工智能系统</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w:t>
            </w:r>
          </w:p>
        </w:tc>
      </w:tr>
    </w:tbl>
    <w:p>
      <w:pPr>
        <w:rPr>
          <w:rFonts w:hint="default" w:ascii="Times New Roman" w:hAnsi="Times New Roman" w:cs="Times New Roman"/>
          <w:b w:val="0"/>
          <w:i w:val="0"/>
          <w:caps w:val="0"/>
          <w:color w:val="000000" w:themeColor="text1"/>
          <w:spacing w:val="0"/>
          <w:w w:val="100"/>
          <w:sz w:val="28"/>
          <w:szCs w:val="28"/>
          <w:highlight w:val="none"/>
          <w:lang w:val="zh-CN" w:bidi="zh-CN"/>
          <w14:textFill>
            <w14:solidFill>
              <w14:schemeClr w14:val="tx1"/>
            </w14:solidFill>
          </w14:textFill>
        </w:rPr>
      </w:pPr>
    </w:p>
    <w:p>
      <w:pPr>
        <w:rPr>
          <w:rFonts w:hint="default" w:ascii="Times New Roman" w:hAnsi="Times New Roman" w:cs="Times New Roman"/>
          <w:b w:val="0"/>
          <w:i w:val="0"/>
          <w:caps w:val="0"/>
          <w:color w:val="000000" w:themeColor="text1"/>
          <w:spacing w:val="0"/>
          <w:w w:val="100"/>
          <w:sz w:val="28"/>
          <w:szCs w:val="28"/>
          <w:highlight w:val="none"/>
          <w:lang w:val="zh-CN" w:bidi="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8"/>
          <w:szCs w:val="28"/>
          <w:highlight w:val="none"/>
          <w:lang w:val="zh-CN" w:bidi="zh-CN"/>
          <w14:textFill>
            <w14:solidFill>
              <w14:schemeClr w14:val="tx1"/>
            </w14:solidFill>
          </w14:textFill>
        </w:rPr>
        <w:br w:type="page"/>
      </w:r>
    </w:p>
    <w:p>
      <w:pPr>
        <w:pStyle w:val="2"/>
        <w:snapToGrid w:val="0"/>
        <w:spacing w:before="340" w:beforeAutospacing="0" w:after="330" w:afterAutospacing="0" w:line="360" w:lineRule="auto"/>
        <w:jc w:val="center"/>
        <w:textAlignment w:val="baseline"/>
        <w:rPr>
          <w:rFonts w:hint="default" w:ascii="Times New Roman" w:hAnsi="Times New Roman" w:cs="Times New Roman"/>
          <w:b w:val="0"/>
          <w:i w:val="0"/>
          <w:caps w:val="0"/>
          <w:color w:val="000000" w:themeColor="text1"/>
          <w:spacing w:val="0"/>
          <w:w w:val="100"/>
          <w:sz w:val="28"/>
          <w:szCs w:val="28"/>
          <w:highlight w:val="none"/>
          <w:lang w:val="zh-CN" w:bidi="zh-CN"/>
          <w14:textFill>
            <w14:solidFill>
              <w14:schemeClr w14:val="tx1"/>
            </w14:solidFill>
          </w14:textFill>
        </w:rPr>
      </w:pPr>
      <w:bookmarkStart w:id="111" w:name="_Toc15789"/>
      <w:r>
        <w:rPr>
          <w:rFonts w:hint="default" w:ascii="Times New Roman" w:hAnsi="Times New Roman" w:cs="Times New Roman"/>
          <w:b w:val="0"/>
          <w:i w:val="0"/>
          <w:caps w:val="0"/>
          <w:color w:val="000000" w:themeColor="text1"/>
          <w:spacing w:val="0"/>
          <w:w w:val="100"/>
          <w:sz w:val="28"/>
          <w:szCs w:val="28"/>
          <w:highlight w:val="none"/>
          <w:lang w:val="zh-CN" w:bidi="zh-CN"/>
          <w14:textFill>
            <w14:solidFill>
              <w14:schemeClr w14:val="tx1"/>
            </w14:solidFill>
          </w14:textFill>
        </w:rPr>
        <w:t>本导则用词说明</w:t>
      </w:r>
      <w:bookmarkEnd w:id="111"/>
    </w:p>
    <w:p>
      <w:pPr>
        <w:pStyle w:val="34"/>
        <w:snapToGrid w:val="0"/>
        <w:spacing w:before="0" w:beforeAutospacing="0" w:after="0" w:afterAutospacing="0" w:line="478" w:lineRule="exact"/>
        <w:textAlignment w:val="baseline"/>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1为便于在执行本导则条文时区别对待，对要求严格程度不同的用词说明如下：</w:t>
      </w:r>
    </w:p>
    <w:p>
      <w:pPr>
        <w:pStyle w:val="34"/>
        <w:tabs>
          <w:tab w:val="left" w:pos="368"/>
        </w:tabs>
        <w:snapToGrid w:val="0"/>
        <w:spacing w:before="0" w:beforeAutospacing="0" w:after="0" w:afterAutospacing="0" w:line="478" w:lineRule="exact"/>
        <w:textAlignment w:val="baseline"/>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pPr>
      <w:bookmarkStart w:id="112" w:name="bookmark134"/>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1</w:t>
      </w:r>
      <w:bookmarkEnd w:id="112"/>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ab/>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表示很严格，非这样做不可的用词：正面词采用</w:t>
      </w:r>
      <w:r>
        <w:rPr>
          <w:rFonts w:hint="default" w:ascii="Times New Roman" w:hAnsi="Times New Roman" w:cs="Times New Roman"/>
          <w:b w:val="0"/>
          <w:i w:val="0"/>
          <w:caps w:val="0"/>
          <w:color w:val="000000" w:themeColor="text1"/>
          <w:spacing w:val="0"/>
          <w:w w:val="100"/>
          <w:sz w:val="20"/>
          <w:highlight w:val="none"/>
          <w:lang w:val="zh-CN" w:eastAsia="zh-CN" w:bidi="zh-CN"/>
          <w14:textFill>
            <w14:solidFill>
              <w14:schemeClr w14:val="tx1"/>
            </w14:solidFill>
          </w14:textFill>
        </w:rPr>
        <w:t>“必</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须”反面词采用</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lang w:val="zh-CN" w:eastAsia="zh-CN" w:bidi="zh-CN"/>
          <w14:textFill>
            <w14:solidFill>
              <w14:schemeClr w14:val="tx1"/>
            </w14:solidFill>
          </w14:textFill>
        </w:rPr>
        <w:t>严</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禁</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w:t>
      </w:r>
    </w:p>
    <w:p>
      <w:pPr>
        <w:pStyle w:val="34"/>
        <w:tabs>
          <w:tab w:val="left" w:pos="378"/>
        </w:tabs>
        <w:snapToGrid w:val="0"/>
        <w:spacing w:before="0" w:beforeAutospacing="0" w:after="0" w:afterAutospacing="0" w:line="478" w:lineRule="exact"/>
        <w:textAlignment w:val="baseline"/>
        <w:rPr>
          <w:rFonts w:hint="default" w:ascii="Times New Roman" w:hAnsi="Times New Roman" w:eastAsia="宋体" w:cs="Times New Roman"/>
          <w:b w:val="0"/>
          <w:i w:val="0"/>
          <w:caps w:val="0"/>
          <w:color w:val="000000" w:themeColor="text1"/>
          <w:spacing w:val="0"/>
          <w:w w:val="100"/>
          <w:sz w:val="20"/>
          <w:highlight w:val="none"/>
          <w:lang w:eastAsia="zh-CN"/>
          <w14:textFill>
            <w14:solidFill>
              <w14:schemeClr w14:val="tx1"/>
            </w14:solidFill>
          </w14:textFill>
        </w:rPr>
      </w:pPr>
      <w:bookmarkStart w:id="113" w:name="bookmark135"/>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2</w:t>
      </w:r>
      <w:bookmarkEnd w:id="113"/>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ab/>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表示严格，在正常情况下均应这样做的用词：正面词采用</w:t>
      </w:r>
      <w:r>
        <w:rPr>
          <w:rFonts w:hint="default" w:ascii="Times New Roman" w:hAnsi="Times New Roman" w:cs="Times New Roman"/>
          <w:b w:val="0"/>
          <w:i w:val="0"/>
          <w:caps w:val="0"/>
          <w:color w:val="000000" w:themeColor="text1"/>
          <w:spacing w:val="0"/>
          <w:w w:val="100"/>
          <w:sz w:val="20"/>
          <w:highlight w:val="none"/>
          <w:lang w:val="zh-CN" w:eastAsia="zh-CN" w:bidi="zh-CN"/>
          <w14:textFill>
            <w14:solidFill>
              <w14:schemeClr w14:val="tx1"/>
            </w14:solidFill>
          </w14:textFill>
        </w:rPr>
        <w:t>“应</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”，反面词采用</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lang w:val="zh-CN" w:eastAsia="zh-CN" w:bidi="zh-CN"/>
          <w14:textFill>
            <w14:solidFill>
              <w14:schemeClr w14:val="tx1"/>
            </w14:solidFill>
          </w14:textFill>
        </w:rPr>
        <w:t>不</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应</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或</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不得</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w:t>
      </w:r>
    </w:p>
    <w:p>
      <w:pPr>
        <w:pStyle w:val="34"/>
        <w:tabs>
          <w:tab w:val="left" w:pos="378"/>
        </w:tabs>
        <w:snapToGrid w:val="0"/>
        <w:spacing w:before="0" w:beforeAutospacing="0" w:after="0" w:afterAutospacing="0" w:line="478" w:lineRule="exact"/>
        <w:textAlignment w:val="baseline"/>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pPr>
      <w:bookmarkStart w:id="114" w:name="bookmark136"/>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3</w:t>
      </w:r>
      <w:bookmarkEnd w:id="114"/>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ab/>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表示允许稍有选择，在条件允许时首先应这样做的用词：正面词采用</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lang w:val="zh-CN" w:eastAsia="zh-CN" w:bidi="zh-CN"/>
          <w14:textFill>
            <w14:solidFill>
              <w14:schemeClr w14:val="tx1"/>
            </w14:solidFill>
          </w14:textFill>
        </w:rPr>
        <w:t>宜</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，反面词采用</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不宜</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w:t>
      </w:r>
    </w:p>
    <w:p>
      <w:pPr>
        <w:pStyle w:val="34"/>
        <w:tabs>
          <w:tab w:val="left" w:pos="382"/>
        </w:tabs>
        <w:snapToGrid w:val="0"/>
        <w:spacing w:before="0" w:beforeAutospacing="0" w:after="0" w:afterAutospacing="0" w:line="478" w:lineRule="exact"/>
        <w:textAlignment w:val="baseline"/>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pPr>
      <w:bookmarkStart w:id="115" w:name="bookmark137"/>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4</w:t>
      </w:r>
      <w:bookmarkEnd w:id="115"/>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ab/>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表示有选择，在一定条件下可以这样做的采用</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lang w:val="zh-CN" w:eastAsia="zh-CN" w:bidi="zh-CN"/>
          <w14:textFill>
            <w14:solidFill>
              <w14:schemeClr w14:val="tx1"/>
            </w14:solidFill>
          </w14:textFill>
        </w:rPr>
        <w:t>可</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w:t>
      </w:r>
    </w:p>
    <w:p>
      <w:pPr>
        <w:pStyle w:val="34"/>
        <w:snapToGrid w:val="0"/>
        <w:spacing w:before="0" w:beforeAutospacing="0" w:after="0" w:afterAutospacing="0" w:line="478" w:lineRule="exact"/>
        <w:textAlignment w:val="baseline"/>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sectPr>
          <w:pgSz w:w="11900" w:h="16840"/>
          <w:pgMar w:top="1463" w:right="1264" w:bottom="1939" w:left="1729" w:header="1032" w:footer="850" w:gutter="0"/>
          <w:pgNumType w:fmt="decimal"/>
          <w:cols w:space="0" w:num="1"/>
          <w:rtlGutter w:val="0"/>
          <w:docGrid w:linePitch="360" w:charSpace="0"/>
        </w:sectPr>
      </w:pP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2条文中必须按指定的标准、规范或其他有关规定执行的写法为</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lang w:val="zh-CN" w:eastAsia="zh-CN" w:bidi="zh-CN"/>
          <w14:textFill>
            <w14:solidFill>
              <w14:schemeClr w14:val="tx1"/>
            </w14:solidFill>
          </w14:textFill>
        </w:rPr>
        <w:t>应按</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……执行</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或</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lang w:val="zh-CN" w:eastAsia="zh-CN" w:bidi="zh-CN"/>
          <w14:textFill>
            <w14:solidFill>
              <w14:schemeClr w14:val="tx1"/>
            </w14:solidFill>
          </w14:textFill>
        </w:rPr>
        <w:t>应</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符合……规定</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w:t>
      </w:r>
    </w:p>
    <w:p>
      <w:pPr>
        <w:rPr>
          <w:rFonts w:hint="default" w:ascii="Times New Roman" w:hAnsi="Times New Roman" w:cs="Times New Roman"/>
          <w:b w:val="0"/>
          <w:i w:val="0"/>
          <w:caps w:val="0"/>
          <w:color w:val="000000" w:themeColor="text1"/>
          <w:spacing w:val="0"/>
          <w:w w:val="100"/>
          <w:sz w:val="28"/>
          <w:szCs w:val="28"/>
          <w:highlight w:val="none"/>
          <w:lang w:val="zh-CN" w:bidi="zh-CN"/>
          <w14:textFill>
            <w14:solidFill>
              <w14:schemeClr w14:val="tx1"/>
            </w14:solidFill>
          </w14:textFill>
        </w:rPr>
        <w:sectPr>
          <w:type w:val="continuous"/>
          <w:pgSz w:w="11900" w:h="16840"/>
          <w:pgMar w:top="1463" w:right="1264" w:bottom="1939" w:left="1729" w:header="1032" w:footer="850" w:gutter="0"/>
          <w:pgNumType w:fmt="decimal"/>
          <w:cols w:space="0" w:num="1"/>
          <w:rtlGutter w:val="0"/>
          <w:docGrid w:linePitch="360" w:charSpace="0"/>
        </w:sectPr>
      </w:pPr>
    </w:p>
    <w:bookmarkEnd w:id="104"/>
    <w:bookmarkEnd w:id="105"/>
    <w:bookmarkEnd w:id="106"/>
    <w:bookmarkEnd w:id="107"/>
    <w:bookmarkEnd w:id="108"/>
    <w:bookmarkEnd w:id="109"/>
    <w:bookmarkEnd w:id="110"/>
    <w:p>
      <w:pPr>
        <w:pStyle w:val="2"/>
        <w:snapToGrid w:val="0"/>
        <w:spacing w:before="340" w:beforeAutospacing="0" w:after="330" w:afterAutospacing="0" w:line="360" w:lineRule="auto"/>
        <w:jc w:val="center"/>
        <w:textAlignment w:val="baseline"/>
        <w:rPr>
          <w:rFonts w:hint="default" w:ascii="Times New Roman" w:hAnsi="Times New Roman" w:cs="Times New Roman"/>
          <w:b w:val="0"/>
          <w:i w:val="0"/>
          <w:caps w:val="0"/>
          <w:color w:val="000000" w:themeColor="text1"/>
          <w:spacing w:val="0"/>
          <w:w w:val="100"/>
          <w:sz w:val="28"/>
          <w:szCs w:val="28"/>
          <w:highlight w:val="none"/>
          <w:lang w:val="zh-CN" w:bidi="zh-CN"/>
          <w14:textFill>
            <w14:solidFill>
              <w14:schemeClr w14:val="tx1"/>
            </w14:solidFill>
          </w14:textFill>
        </w:rPr>
      </w:pPr>
      <w:bookmarkStart w:id="116" w:name="_Toc20881"/>
      <w:bookmarkStart w:id="117" w:name="bookmark140"/>
      <w:bookmarkStart w:id="118" w:name="_Toc11180"/>
      <w:bookmarkStart w:id="119" w:name="_Toc27501"/>
      <w:bookmarkStart w:id="120" w:name="bookmark139"/>
      <w:bookmarkStart w:id="121" w:name="_Toc59122517"/>
      <w:bookmarkStart w:id="122" w:name="bookmark138"/>
      <w:bookmarkStart w:id="123" w:name="_Toc59121552"/>
      <w:r>
        <w:rPr>
          <w:rFonts w:hint="default" w:ascii="Times New Roman" w:hAnsi="Times New Roman" w:cs="Times New Roman"/>
          <w:b w:val="0"/>
          <w:i w:val="0"/>
          <w:caps w:val="0"/>
          <w:color w:val="000000" w:themeColor="text1"/>
          <w:spacing w:val="0"/>
          <w:w w:val="100"/>
          <w:sz w:val="28"/>
          <w:szCs w:val="28"/>
          <w:highlight w:val="none"/>
          <w:lang w:val="zh-CN" w:bidi="zh-CN"/>
          <w14:textFill>
            <w14:solidFill>
              <w14:schemeClr w14:val="tx1"/>
            </w14:solidFill>
          </w14:textFill>
        </w:rPr>
        <w:t>引用标准名录</w:t>
      </w:r>
      <w:bookmarkEnd w:id="116"/>
      <w:bookmarkEnd w:id="117"/>
      <w:bookmarkEnd w:id="118"/>
      <w:bookmarkEnd w:id="119"/>
      <w:bookmarkEnd w:id="120"/>
      <w:bookmarkEnd w:id="121"/>
      <w:bookmarkEnd w:id="122"/>
      <w:bookmarkEnd w:id="123"/>
    </w:p>
    <w:p>
      <w:pPr>
        <w:widowControl/>
        <w:snapToGrid w:val="0"/>
        <w:spacing w:before="0" w:beforeAutospacing="0" w:after="0" w:afterAutospacing="0" w:line="360" w:lineRule="auto"/>
        <w:ind w:left="798"/>
        <w:textAlignment w:val="baseline"/>
        <w:rPr>
          <w:rFonts w:hint="default" w:ascii="Times New Roman" w:hAnsi="Times New Roman" w:eastAsia="宋体" w:cs="Times New Roman"/>
          <w:b w:val="0"/>
          <w:i w:val="0"/>
          <w:caps w:val="0"/>
          <w:color w:val="000000" w:themeColor="text1"/>
          <w:spacing w:val="0"/>
          <w:w w:val="100"/>
          <w:sz w:val="20"/>
          <w:szCs w:val="20"/>
          <w:highlight w:val="none"/>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sz w:val="20"/>
          <w:szCs w:val="20"/>
          <w:highlight w:val="none"/>
          <w14:textFill>
            <w14:solidFill>
              <w14:schemeClr w14:val="tx1"/>
            </w14:solidFill>
          </w14:textFill>
        </w:rPr>
        <w:t>《预拌混凝土智能</w:t>
      </w:r>
      <w:r>
        <w:rPr>
          <w:rFonts w:hint="default" w:ascii="Times New Roman" w:hAnsi="Times New Roman" w:eastAsia="宋体" w:cs="Times New Roman"/>
          <w:b w:val="0"/>
          <w:i w:val="0"/>
          <w:caps w:val="0"/>
          <w:color w:val="000000" w:themeColor="text1"/>
          <w:spacing w:val="0"/>
          <w:w w:val="100"/>
          <w:sz w:val="20"/>
          <w:szCs w:val="20"/>
          <w:highlight w:val="none"/>
          <w:lang w:eastAsia="zh-CN"/>
          <w14:textFill>
            <w14:solidFill>
              <w14:schemeClr w14:val="tx1"/>
            </w14:solidFill>
          </w14:textFill>
        </w:rPr>
        <w:t>厂站</w:t>
      </w:r>
      <w:r>
        <w:rPr>
          <w:rFonts w:hint="default" w:ascii="Times New Roman" w:hAnsi="Times New Roman" w:eastAsia="宋体" w:cs="Times New Roman"/>
          <w:b w:val="0"/>
          <w:i w:val="0"/>
          <w:caps w:val="0"/>
          <w:color w:val="000000" w:themeColor="text1"/>
          <w:spacing w:val="0"/>
          <w:w w:val="100"/>
          <w:sz w:val="20"/>
          <w:szCs w:val="20"/>
          <w:highlight w:val="none"/>
          <w14:textFill>
            <w14:solidFill>
              <w14:schemeClr w14:val="tx1"/>
            </w14:solidFill>
          </w14:textFill>
        </w:rPr>
        <w:t>评价要求》T/CBMF</w:t>
      </w:r>
      <w:r>
        <w:rPr>
          <w:rFonts w:hint="default" w:ascii="Times New Roman" w:hAnsi="Times New Roman" w:eastAsia="宋体" w:cs="Times New Roman"/>
          <w:b w:val="0"/>
          <w:i w:val="0"/>
          <w:caps w:val="0"/>
          <w:color w:val="000000" w:themeColor="text1"/>
          <w:spacing w:val="0"/>
          <w:w w:val="100"/>
          <w:sz w:val="20"/>
          <w:szCs w:val="20"/>
          <w:highlight w:val="none"/>
          <w:lang w:val="en-US" w:eastAsia="zh-CN"/>
          <w14:textFill>
            <w14:solidFill>
              <w14:schemeClr w14:val="tx1"/>
            </w14:solidFill>
          </w14:textFill>
        </w:rPr>
        <w:t xml:space="preserve"> </w:t>
      </w:r>
      <w:r>
        <w:rPr>
          <w:rFonts w:hint="default" w:ascii="Times New Roman" w:hAnsi="Times New Roman" w:eastAsia="宋体" w:cs="Times New Roman"/>
          <w:b w:val="0"/>
          <w:i w:val="0"/>
          <w:caps w:val="0"/>
          <w:color w:val="000000" w:themeColor="text1"/>
          <w:spacing w:val="0"/>
          <w:w w:val="100"/>
          <w:sz w:val="20"/>
          <w:szCs w:val="20"/>
          <w:highlight w:val="none"/>
          <w14:textFill>
            <w14:solidFill>
              <w14:schemeClr w14:val="tx1"/>
            </w14:solidFill>
          </w14:textFill>
        </w:rPr>
        <w:t>89—2020</w:t>
      </w:r>
    </w:p>
    <w:p>
      <w:pPr>
        <w:widowControl/>
        <w:snapToGrid w:val="0"/>
        <w:spacing w:before="0" w:beforeAutospacing="0" w:after="0" w:afterAutospacing="0" w:line="360" w:lineRule="auto"/>
        <w:ind w:left="798"/>
        <w:textAlignment w:val="baseline"/>
        <w:rPr>
          <w:rFonts w:hint="default" w:ascii="Times New Roman" w:hAnsi="Times New Roman" w:eastAsia="宋体" w:cs="Times New Roman"/>
          <w:b w:val="0"/>
          <w:i w:val="0"/>
          <w:caps w:val="0"/>
          <w:color w:val="000000" w:themeColor="text1"/>
          <w:spacing w:val="0"/>
          <w:w w:val="100"/>
          <w:sz w:val="20"/>
          <w:szCs w:val="20"/>
          <w:highlight w:val="none"/>
          <w:lang w:val="en-US" w:eastAsia="zh-CN"/>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sz w:val="20"/>
          <w:szCs w:val="20"/>
          <w:highlight w:val="none"/>
          <w:lang w:eastAsia="zh-CN"/>
          <w14:textFill>
            <w14:solidFill>
              <w14:schemeClr w14:val="tx1"/>
            </w14:solidFill>
          </w14:textFill>
        </w:rPr>
        <w:t>《</w:t>
      </w:r>
      <w:r>
        <w:rPr>
          <w:rFonts w:hint="default" w:ascii="Times New Roman" w:hAnsi="Times New Roman" w:eastAsia="宋体" w:cs="Times New Roman"/>
          <w:b w:val="0"/>
          <w:i w:val="0"/>
          <w:caps w:val="0"/>
          <w:color w:val="000000" w:themeColor="text1"/>
          <w:spacing w:val="0"/>
          <w:w w:val="100"/>
          <w:sz w:val="20"/>
          <w:szCs w:val="20"/>
          <w:highlight w:val="none"/>
          <w:lang w:val="en-US" w:eastAsia="zh-CN"/>
          <w14:textFill>
            <w14:solidFill>
              <w14:schemeClr w14:val="tx1"/>
            </w14:solidFill>
          </w14:textFill>
        </w:rPr>
        <w:t>智能制造能力成熟度模型</w:t>
      </w:r>
      <w:r>
        <w:rPr>
          <w:rFonts w:hint="default" w:ascii="Times New Roman" w:hAnsi="Times New Roman" w:eastAsia="宋体" w:cs="Times New Roman"/>
          <w:b w:val="0"/>
          <w:i w:val="0"/>
          <w:caps w:val="0"/>
          <w:color w:val="000000" w:themeColor="text1"/>
          <w:spacing w:val="0"/>
          <w:w w:val="100"/>
          <w:sz w:val="20"/>
          <w:szCs w:val="20"/>
          <w:highlight w:val="none"/>
          <w:lang w:eastAsia="zh-CN"/>
          <w14:textFill>
            <w14:solidFill>
              <w14:schemeClr w14:val="tx1"/>
            </w14:solidFill>
          </w14:textFill>
        </w:rPr>
        <w:t>》</w:t>
      </w:r>
      <w:r>
        <w:rPr>
          <w:rFonts w:hint="default" w:ascii="Times New Roman" w:hAnsi="Times New Roman" w:eastAsia="宋体" w:cs="Times New Roman"/>
          <w:b w:val="0"/>
          <w:i w:val="0"/>
          <w:caps w:val="0"/>
          <w:color w:val="000000" w:themeColor="text1"/>
          <w:spacing w:val="0"/>
          <w:w w:val="100"/>
          <w:sz w:val="20"/>
          <w:szCs w:val="20"/>
          <w:highlight w:val="none"/>
          <w:lang w:val="en-US" w:eastAsia="zh-CN"/>
          <w14:textFill>
            <w14:solidFill>
              <w14:schemeClr w14:val="tx1"/>
            </w14:solidFill>
          </w14:textFill>
        </w:rPr>
        <w:t>GB/T39116-2020</w:t>
      </w:r>
    </w:p>
    <w:p>
      <w:pPr>
        <w:widowControl/>
        <w:snapToGrid w:val="0"/>
        <w:spacing w:before="0" w:beforeAutospacing="0" w:after="0" w:afterAutospacing="0" w:line="360" w:lineRule="auto"/>
        <w:ind w:left="798"/>
        <w:textAlignment w:val="baseline"/>
        <w:rPr>
          <w:rFonts w:hint="default" w:ascii="Times New Roman" w:hAnsi="Times New Roman" w:eastAsia="宋体" w:cs="Times New Roman"/>
          <w:b w:val="0"/>
          <w:i w:val="0"/>
          <w:caps w:val="0"/>
          <w:color w:val="000000" w:themeColor="text1"/>
          <w:spacing w:val="0"/>
          <w:w w:val="100"/>
          <w:sz w:val="20"/>
          <w:szCs w:val="20"/>
          <w:highlight w:val="none"/>
          <w:lang w:val="en-US" w:eastAsia="zh-CN"/>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sz w:val="20"/>
          <w:szCs w:val="20"/>
          <w:highlight w:val="none"/>
          <w:lang w:eastAsia="zh-CN"/>
          <w14:textFill>
            <w14:solidFill>
              <w14:schemeClr w14:val="tx1"/>
            </w14:solidFill>
          </w14:textFill>
        </w:rPr>
        <w:t>《</w:t>
      </w:r>
      <w:r>
        <w:rPr>
          <w:rFonts w:hint="default" w:ascii="Times New Roman" w:hAnsi="Times New Roman" w:eastAsia="宋体" w:cs="Times New Roman"/>
          <w:b w:val="0"/>
          <w:i w:val="0"/>
          <w:caps w:val="0"/>
          <w:color w:val="000000" w:themeColor="text1"/>
          <w:spacing w:val="0"/>
          <w:w w:val="100"/>
          <w:sz w:val="20"/>
          <w:szCs w:val="20"/>
          <w:highlight w:val="none"/>
          <w:lang w:val="en-US" w:eastAsia="zh-CN"/>
          <w14:textFill>
            <w14:solidFill>
              <w14:schemeClr w14:val="tx1"/>
            </w14:solidFill>
          </w14:textFill>
        </w:rPr>
        <w:t>智能制造能力成熟度评估方法</w:t>
      </w:r>
      <w:r>
        <w:rPr>
          <w:rFonts w:hint="default" w:ascii="Times New Roman" w:hAnsi="Times New Roman" w:eastAsia="宋体" w:cs="Times New Roman"/>
          <w:b w:val="0"/>
          <w:i w:val="0"/>
          <w:caps w:val="0"/>
          <w:color w:val="000000" w:themeColor="text1"/>
          <w:spacing w:val="0"/>
          <w:w w:val="100"/>
          <w:sz w:val="20"/>
          <w:szCs w:val="20"/>
          <w:highlight w:val="none"/>
          <w:lang w:eastAsia="zh-CN"/>
          <w14:textFill>
            <w14:solidFill>
              <w14:schemeClr w14:val="tx1"/>
            </w14:solidFill>
          </w14:textFill>
        </w:rPr>
        <w:t>》</w:t>
      </w:r>
      <w:r>
        <w:rPr>
          <w:rFonts w:hint="default" w:ascii="Times New Roman" w:hAnsi="Times New Roman" w:eastAsia="宋体" w:cs="Times New Roman"/>
          <w:b w:val="0"/>
          <w:i w:val="0"/>
          <w:caps w:val="0"/>
          <w:color w:val="000000" w:themeColor="text1"/>
          <w:spacing w:val="0"/>
          <w:w w:val="100"/>
          <w:sz w:val="20"/>
          <w:szCs w:val="20"/>
          <w:highlight w:val="none"/>
          <w:lang w:val="en-US" w:eastAsia="zh-CN"/>
          <w14:textFill>
            <w14:solidFill>
              <w14:schemeClr w14:val="tx1"/>
            </w14:solidFill>
          </w14:textFill>
        </w:rPr>
        <w:t>GB/T39117-2020</w:t>
      </w:r>
    </w:p>
    <w:p>
      <w:pPr>
        <w:widowControl/>
        <w:snapToGrid w:val="0"/>
        <w:spacing w:before="0" w:beforeAutospacing="0" w:after="0" w:afterAutospacing="0" w:line="360" w:lineRule="auto"/>
        <w:ind w:left="798"/>
        <w:textAlignment w:val="baseline"/>
        <w:rPr>
          <w:rFonts w:hint="default" w:ascii="Times New Roman" w:hAnsi="Times New Roman" w:eastAsia="宋体" w:cs="Times New Roman"/>
          <w:b w:val="0"/>
          <w:i w:val="0"/>
          <w:caps w:val="0"/>
          <w:color w:val="000000" w:themeColor="text1"/>
          <w:spacing w:val="0"/>
          <w:w w:val="100"/>
          <w:sz w:val="20"/>
          <w:szCs w:val="20"/>
          <w:highlight w:val="none"/>
          <w:lang w:val="en-US" w:eastAsia="zh-CN"/>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sz w:val="20"/>
          <w:szCs w:val="20"/>
          <w:highlight w:val="none"/>
          <w:lang w:val="en-US" w:eastAsia="zh-CN"/>
          <w14:textFill>
            <w14:solidFill>
              <w14:schemeClr w14:val="tx1"/>
            </w14:solidFill>
          </w14:textFill>
        </w:rPr>
        <w:t>《预拌混凝土标准化生产管理规程》DB42T1948-2023</w:t>
      </w:r>
    </w:p>
    <w:sectPr>
      <w:footerReference r:id="rId9" w:type="default"/>
      <w:pgSz w:w="11900" w:h="16840"/>
      <w:pgMar w:top="1463" w:right="1264" w:bottom="1939" w:left="1729" w:header="1032" w:footer="850" w:gutter="0"/>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PingFang-SC-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81"/>
  <w:drawingGridVerticalSpacing w:val="181"/>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zNWI3YTBjNGUzNGY2ZmVkOTg3N2Q5OGQ5NjJhMTAifQ=="/>
    <w:docVar w:name="KSO_WPS_MARK_KEY" w:val="56be3e20-4fa3-4a5f-8ab2-9af654f0074e"/>
  </w:docVars>
  <w:rsids>
    <w:rsidRoot w:val="00EF4A0D"/>
    <w:rsid w:val="00006378"/>
    <w:rsid w:val="000073CB"/>
    <w:rsid w:val="0002117A"/>
    <w:rsid w:val="00025A68"/>
    <w:rsid w:val="00025EFB"/>
    <w:rsid w:val="00026EFE"/>
    <w:rsid w:val="0003710A"/>
    <w:rsid w:val="000422BE"/>
    <w:rsid w:val="00043CB2"/>
    <w:rsid w:val="000444FD"/>
    <w:rsid w:val="000511C4"/>
    <w:rsid w:val="00055C0E"/>
    <w:rsid w:val="000779E5"/>
    <w:rsid w:val="000953CC"/>
    <w:rsid w:val="000C1076"/>
    <w:rsid w:val="000D35CE"/>
    <w:rsid w:val="000D36D8"/>
    <w:rsid w:val="000E777E"/>
    <w:rsid w:val="001373D7"/>
    <w:rsid w:val="001433B9"/>
    <w:rsid w:val="00144330"/>
    <w:rsid w:val="00160EDC"/>
    <w:rsid w:val="00164981"/>
    <w:rsid w:val="001669D4"/>
    <w:rsid w:val="00166F0A"/>
    <w:rsid w:val="00170E2E"/>
    <w:rsid w:val="00171390"/>
    <w:rsid w:val="00195F05"/>
    <w:rsid w:val="001A1273"/>
    <w:rsid w:val="001A36B4"/>
    <w:rsid w:val="001B55D5"/>
    <w:rsid w:val="001C2902"/>
    <w:rsid w:val="001C3308"/>
    <w:rsid w:val="001D0555"/>
    <w:rsid w:val="001D4E73"/>
    <w:rsid w:val="001D6D71"/>
    <w:rsid w:val="001E5800"/>
    <w:rsid w:val="001E68E1"/>
    <w:rsid w:val="001E7340"/>
    <w:rsid w:val="001F422C"/>
    <w:rsid w:val="00262944"/>
    <w:rsid w:val="00263887"/>
    <w:rsid w:val="00290CE1"/>
    <w:rsid w:val="002B2661"/>
    <w:rsid w:val="002C1706"/>
    <w:rsid w:val="002D270F"/>
    <w:rsid w:val="002D66E5"/>
    <w:rsid w:val="002E794E"/>
    <w:rsid w:val="002F0514"/>
    <w:rsid w:val="002F0FD1"/>
    <w:rsid w:val="00302B62"/>
    <w:rsid w:val="00316CC7"/>
    <w:rsid w:val="00324423"/>
    <w:rsid w:val="00330891"/>
    <w:rsid w:val="00340558"/>
    <w:rsid w:val="00347FCF"/>
    <w:rsid w:val="003524F7"/>
    <w:rsid w:val="00352583"/>
    <w:rsid w:val="003562D8"/>
    <w:rsid w:val="00357F8E"/>
    <w:rsid w:val="00367A7B"/>
    <w:rsid w:val="00370543"/>
    <w:rsid w:val="003777EC"/>
    <w:rsid w:val="00382E0E"/>
    <w:rsid w:val="003A4FA9"/>
    <w:rsid w:val="003B6196"/>
    <w:rsid w:val="003C1051"/>
    <w:rsid w:val="003D0BFC"/>
    <w:rsid w:val="003D2C8A"/>
    <w:rsid w:val="003F0B20"/>
    <w:rsid w:val="003F54C8"/>
    <w:rsid w:val="003F6C79"/>
    <w:rsid w:val="00400079"/>
    <w:rsid w:val="00410037"/>
    <w:rsid w:val="004165E8"/>
    <w:rsid w:val="00423F04"/>
    <w:rsid w:val="00425CE1"/>
    <w:rsid w:val="00431A6C"/>
    <w:rsid w:val="00434FF1"/>
    <w:rsid w:val="00442991"/>
    <w:rsid w:val="00444F3A"/>
    <w:rsid w:val="00466DDF"/>
    <w:rsid w:val="00467093"/>
    <w:rsid w:val="00467BB2"/>
    <w:rsid w:val="00473886"/>
    <w:rsid w:val="004842DD"/>
    <w:rsid w:val="004A2124"/>
    <w:rsid w:val="004A43ED"/>
    <w:rsid w:val="004B63E7"/>
    <w:rsid w:val="004D27B0"/>
    <w:rsid w:val="004E468A"/>
    <w:rsid w:val="004E58C9"/>
    <w:rsid w:val="004F002F"/>
    <w:rsid w:val="00527023"/>
    <w:rsid w:val="00533408"/>
    <w:rsid w:val="005443F1"/>
    <w:rsid w:val="005522F8"/>
    <w:rsid w:val="00553EFE"/>
    <w:rsid w:val="0055594A"/>
    <w:rsid w:val="00580C2D"/>
    <w:rsid w:val="005A44B8"/>
    <w:rsid w:val="005A7B88"/>
    <w:rsid w:val="005C7408"/>
    <w:rsid w:val="005D106E"/>
    <w:rsid w:val="005D1563"/>
    <w:rsid w:val="005D1D84"/>
    <w:rsid w:val="005D3354"/>
    <w:rsid w:val="005F0325"/>
    <w:rsid w:val="005F4369"/>
    <w:rsid w:val="0060591B"/>
    <w:rsid w:val="0061675E"/>
    <w:rsid w:val="00621C04"/>
    <w:rsid w:val="00623686"/>
    <w:rsid w:val="006334A2"/>
    <w:rsid w:val="00634A1B"/>
    <w:rsid w:val="00656B53"/>
    <w:rsid w:val="0066118E"/>
    <w:rsid w:val="0066528A"/>
    <w:rsid w:val="006838D9"/>
    <w:rsid w:val="00686526"/>
    <w:rsid w:val="00690853"/>
    <w:rsid w:val="00694715"/>
    <w:rsid w:val="006954CF"/>
    <w:rsid w:val="006A3DD1"/>
    <w:rsid w:val="006A4BD1"/>
    <w:rsid w:val="006B523A"/>
    <w:rsid w:val="006D1405"/>
    <w:rsid w:val="006D2C3E"/>
    <w:rsid w:val="006E063D"/>
    <w:rsid w:val="006E6D95"/>
    <w:rsid w:val="00705A1D"/>
    <w:rsid w:val="00714D72"/>
    <w:rsid w:val="00715428"/>
    <w:rsid w:val="0072699D"/>
    <w:rsid w:val="00733B3B"/>
    <w:rsid w:val="00734A59"/>
    <w:rsid w:val="00737EDA"/>
    <w:rsid w:val="00740A1E"/>
    <w:rsid w:val="007554E9"/>
    <w:rsid w:val="00763535"/>
    <w:rsid w:val="00767DC8"/>
    <w:rsid w:val="00772DC6"/>
    <w:rsid w:val="0078136E"/>
    <w:rsid w:val="007825C4"/>
    <w:rsid w:val="00787287"/>
    <w:rsid w:val="007B40E7"/>
    <w:rsid w:val="007C12FC"/>
    <w:rsid w:val="007C1C39"/>
    <w:rsid w:val="007C2BC5"/>
    <w:rsid w:val="007D474D"/>
    <w:rsid w:val="007F04C2"/>
    <w:rsid w:val="007F6D6D"/>
    <w:rsid w:val="00800822"/>
    <w:rsid w:val="00813963"/>
    <w:rsid w:val="00822898"/>
    <w:rsid w:val="0083329E"/>
    <w:rsid w:val="0083367A"/>
    <w:rsid w:val="00834B04"/>
    <w:rsid w:val="00835C7D"/>
    <w:rsid w:val="00846341"/>
    <w:rsid w:val="008477FB"/>
    <w:rsid w:val="0086576C"/>
    <w:rsid w:val="008966F2"/>
    <w:rsid w:val="008A5AE7"/>
    <w:rsid w:val="008A6BE7"/>
    <w:rsid w:val="008C4EC5"/>
    <w:rsid w:val="008C771A"/>
    <w:rsid w:val="008E2855"/>
    <w:rsid w:val="009065BE"/>
    <w:rsid w:val="00910497"/>
    <w:rsid w:val="00915596"/>
    <w:rsid w:val="009165C6"/>
    <w:rsid w:val="0091683F"/>
    <w:rsid w:val="00916876"/>
    <w:rsid w:val="0092019F"/>
    <w:rsid w:val="00942F0C"/>
    <w:rsid w:val="0094310C"/>
    <w:rsid w:val="0095083F"/>
    <w:rsid w:val="00953AB0"/>
    <w:rsid w:val="009557A6"/>
    <w:rsid w:val="00960681"/>
    <w:rsid w:val="00972FBA"/>
    <w:rsid w:val="009970FB"/>
    <w:rsid w:val="009A0C15"/>
    <w:rsid w:val="009A1B82"/>
    <w:rsid w:val="009A46F1"/>
    <w:rsid w:val="009B1A4A"/>
    <w:rsid w:val="009B4C11"/>
    <w:rsid w:val="009B601E"/>
    <w:rsid w:val="009C2621"/>
    <w:rsid w:val="009C2FF0"/>
    <w:rsid w:val="009D08D7"/>
    <w:rsid w:val="009E3BED"/>
    <w:rsid w:val="009F097A"/>
    <w:rsid w:val="00A1084B"/>
    <w:rsid w:val="00A24AB4"/>
    <w:rsid w:val="00A2756A"/>
    <w:rsid w:val="00A318CE"/>
    <w:rsid w:val="00A3295D"/>
    <w:rsid w:val="00A45345"/>
    <w:rsid w:val="00A5369D"/>
    <w:rsid w:val="00A65A36"/>
    <w:rsid w:val="00A7136B"/>
    <w:rsid w:val="00A87635"/>
    <w:rsid w:val="00A942A8"/>
    <w:rsid w:val="00AB6AA3"/>
    <w:rsid w:val="00AF048D"/>
    <w:rsid w:val="00AF0AE6"/>
    <w:rsid w:val="00B01EFD"/>
    <w:rsid w:val="00B164C4"/>
    <w:rsid w:val="00B17788"/>
    <w:rsid w:val="00B231CE"/>
    <w:rsid w:val="00B27C02"/>
    <w:rsid w:val="00B317A7"/>
    <w:rsid w:val="00B42EA6"/>
    <w:rsid w:val="00B462DC"/>
    <w:rsid w:val="00B46C8F"/>
    <w:rsid w:val="00B6002A"/>
    <w:rsid w:val="00B710CD"/>
    <w:rsid w:val="00B74D1A"/>
    <w:rsid w:val="00B86683"/>
    <w:rsid w:val="00B920B5"/>
    <w:rsid w:val="00B93793"/>
    <w:rsid w:val="00BA661B"/>
    <w:rsid w:val="00BB1834"/>
    <w:rsid w:val="00BB1AE0"/>
    <w:rsid w:val="00BB6985"/>
    <w:rsid w:val="00BB6DC3"/>
    <w:rsid w:val="00BC193E"/>
    <w:rsid w:val="00BC59CE"/>
    <w:rsid w:val="00BD3D2F"/>
    <w:rsid w:val="00BE2224"/>
    <w:rsid w:val="00BE46DB"/>
    <w:rsid w:val="00BF01C0"/>
    <w:rsid w:val="00BF7BA5"/>
    <w:rsid w:val="00C01328"/>
    <w:rsid w:val="00C1120D"/>
    <w:rsid w:val="00C17AB9"/>
    <w:rsid w:val="00C214A2"/>
    <w:rsid w:val="00C33ECE"/>
    <w:rsid w:val="00C429A8"/>
    <w:rsid w:val="00C50EB4"/>
    <w:rsid w:val="00C53296"/>
    <w:rsid w:val="00C56D8F"/>
    <w:rsid w:val="00C64CC1"/>
    <w:rsid w:val="00C727A1"/>
    <w:rsid w:val="00C745C5"/>
    <w:rsid w:val="00C74AB7"/>
    <w:rsid w:val="00C76DFC"/>
    <w:rsid w:val="00C871B1"/>
    <w:rsid w:val="00C962AF"/>
    <w:rsid w:val="00CA4F01"/>
    <w:rsid w:val="00CB18EB"/>
    <w:rsid w:val="00CD11FC"/>
    <w:rsid w:val="00CE17F7"/>
    <w:rsid w:val="00D01278"/>
    <w:rsid w:val="00D04069"/>
    <w:rsid w:val="00D10E22"/>
    <w:rsid w:val="00D154CB"/>
    <w:rsid w:val="00D22691"/>
    <w:rsid w:val="00D24E9B"/>
    <w:rsid w:val="00D31F35"/>
    <w:rsid w:val="00D36D43"/>
    <w:rsid w:val="00D42E67"/>
    <w:rsid w:val="00D55926"/>
    <w:rsid w:val="00D57AD4"/>
    <w:rsid w:val="00D66907"/>
    <w:rsid w:val="00D76FC3"/>
    <w:rsid w:val="00D96E5A"/>
    <w:rsid w:val="00DB2CD1"/>
    <w:rsid w:val="00DC1316"/>
    <w:rsid w:val="00DF6DA4"/>
    <w:rsid w:val="00E0405D"/>
    <w:rsid w:val="00E15DD1"/>
    <w:rsid w:val="00E2329C"/>
    <w:rsid w:val="00E27A05"/>
    <w:rsid w:val="00E469D2"/>
    <w:rsid w:val="00E53D69"/>
    <w:rsid w:val="00E5581D"/>
    <w:rsid w:val="00E613F7"/>
    <w:rsid w:val="00E615E3"/>
    <w:rsid w:val="00E654E9"/>
    <w:rsid w:val="00E6600F"/>
    <w:rsid w:val="00E71FA2"/>
    <w:rsid w:val="00E72149"/>
    <w:rsid w:val="00EB1BA0"/>
    <w:rsid w:val="00EB2879"/>
    <w:rsid w:val="00EB43A6"/>
    <w:rsid w:val="00ED386D"/>
    <w:rsid w:val="00EE2D2F"/>
    <w:rsid w:val="00EF4A0D"/>
    <w:rsid w:val="00F15D80"/>
    <w:rsid w:val="00F30FFA"/>
    <w:rsid w:val="00F34350"/>
    <w:rsid w:val="00F35564"/>
    <w:rsid w:val="00F45659"/>
    <w:rsid w:val="00F54200"/>
    <w:rsid w:val="00F72E93"/>
    <w:rsid w:val="00F779D9"/>
    <w:rsid w:val="00F77CA1"/>
    <w:rsid w:val="00F86693"/>
    <w:rsid w:val="00F93377"/>
    <w:rsid w:val="00F944F2"/>
    <w:rsid w:val="00FA4E03"/>
    <w:rsid w:val="00FC4F5F"/>
    <w:rsid w:val="00FC709B"/>
    <w:rsid w:val="00FE237C"/>
    <w:rsid w:val="00FE3464"/>
    <w:rsid w:val="00FE4AE3"/>
    <w:rsid w:val="00FE5320"/>
    <w:rsid w:val="00FF4C10"/>
    <w:rsid w:val="01176BD1"/>
    <w:rsid w:val="01372215"/>
    <w:rsid w:val="0159126E"/>
    <w:rsid w:val="018906E9"/>
    <w:rsid w:val="019C4BC9"/>
    <w:rsid w:val="01C81E93"/>
    <w:rsid w:val="01D54D98"/>
    <w:rsid w:val="01E73C46"/>
    <w:rsid w:val="0220586E"/>
    <w:rsid w:val="02205A33"/>
    <w:rsid w:val="023A4BFB"/>
    <w:rsid w:val="028642E4"/>
    <w:rsid w:val="02CD25C4"/>
    <w:rsid w:val="034321D6"/>
    <w:rsid w:val="03577A2F"/>
    <w:rsid w:val="036D2DAF"/>
    <w:rsid w:val="03785A7D"/>
    <w:rsid w:val="03BB6FA7"/>
    <w:rsid w:val="04813831"/>
    <w:rsid w:val="0481545A"/>
    <w:rsid w:val="04CD57FE"/>
    <w:rsid w:val="04D03D7C"/>
    <w:rsid w:val="04DC01EC"/>
    <w:rsid w:val="05002B79"/>
    <w:rsid w:val="055B06EB"/>
    <w:rsid w:val="058524DA"/>
    <w:rsid w:val="058F42A0"/>
    <w:rsid w:val="05A20A52"/>
    <w:rsid w:val="05A87F66"/>
    <w:rsid w:val="05FF3859"/>
    <w:rsid w:val="06226CC6"/>
    <w:rsid w:val="067032E2"/>
    <w:rsid w:val="06A905A2"/>
    <w:rsid w:val="06DD4389"/>
    <w:rsid w:val="06E91363"/>
    <w:rsid w:val="070C28DE"/>
    <w:rsid w:val="071D4AEC"/>
    <w:rsid w:val="079317CC"/>
    <w:rsid w:val="07B17846"/>
    <w:rsid w:val="07ED0962"/>
    <w:rsid w:val="08795924"/>
    <w:rsid w:val="08803584"/>
    <w:rsid w:val="0887693F"/>
    <w:rsid w:val="08B1198F"/>
    <w:rsid w:val="08C276F9"/>
    <w:rsid w:val="093F343F"/>
    <w:rsid w:val="09491BC8"/>
    <w:rsid w:val="096A04BC"/>
    <w:rsid w:val="096B7D90"/>
    <w:rsid w:val="0971437F"/>
    <w:rsid w:val="09C1240A"/>
    <w:rsid w:val="09CF47C3"/>
    <w:rsid w:val="09EC3483"/>
    <w:rsid w:val="09EF09C1"/>
    <w:rsid w:val="09F53FBD"/>
    <w:rsid w:val="0A037FC9"/>
    <w:rsid w:val="0A1E117A"/>
    <w:rsid w:val="0A207E53"/>
    <w:rsid w:val="0A211533"/>
    <w:rsid w:val="0A24530E"/>
    <w:rsid w:val="0A256191"/>
    <w:rsid w:val="0A3D48EC"/>
    <w:rsid w:val="0A4C1970"/>
    <w:rsid w:val="0A782765"/>
    <w:rsid w:val="0A7E6952"/>
    <w:rsid w:val="0A852B6F"/>
    <w:rsid w:val="0A8F7AAE"/>
    <w:rsid w:val="0AA23C86"/>
    <w:rsid w:val="0AAF1EFF"/>
    <w:rsid w:val="0ABC322B"/>
    <w:rsid w:val="0ACC60A0"/>
    <w:rsid w:val="0AEA2F37"/>
    <w:rsid w:val="0AF344E1"/>
    <w:rsid w:val="0B057D70"/>
    <w:rsid w:val="0B2115A5"/>
    <w:rsid w:val="0B5036E2"/>
    <w:rsid w:val="0B56493F"/>
    <w:rsid w:val="0B6B251D"/>
    <w:rsid w:val="0B914102"/>
    <w:rsid w:val="0BC63A93"/>
    <w:rsid w:val="0C14470F"/>
    <w:rsid w:val="0C404E84"/>
    <w:rsid w:val="0C450D6C"/>
    <w:rsid w:val="0C803B53"/>
    <w:rsid w:val="0CCB0EB2"/>
    <w:rsid w:val="0D0455D9"/>
    <w:rsid w:val="0D297981"/>
    <w:rsid w:val="0D493FDD"/>
    <w:rsid w:val="0D51204E"/>
    <w:rsid w:val="0D8B6C53"/>
    <w:rsid w:val="0D9C2311"/>
    <w:rsid w:val="0DC318AD"/>
    <w:rsid w:val="0DFB69A9"/>
    <w:rsid w:val="0E032077"/>
    <w:rsid w:val="0E0C2369"/>
    <w:rsid w:val="0E1E1875"/>
    <w:rsid w:val="0E2E4584"/>
    <w:rsid w:val="0E5309E9"/>
    <w:rsid w:val="0E7F55DC"/>
    <w:rsid w:val="0ECB1AC7"/>
    <w:rsid w:val="0F113188"/>
    <w:rsid w:val="0F130CAE"/>
    <w:rsid w:val="0F146C5F"/>
    <w:rsid w:val="0F342AFE"/>
    <w:rsid w:val="0F3F5FF6"/>
    <w:rsid w:val="0F5337A0"/>
    <w:rsid w:val="0F53554E"/>
    <w:rsid w:val="0F655282"/>
    <w:rsid w:val="0F96368D"/>
    <w:rsid w:val="0F983DF5"/>
    <w:rsid w:val="0FBC7598"/>
    <w:rsid w:val="0FCE72CB"/>
    <w:rsid w:val="0FDE2F13"/>
    <w:rsid w:val="102B2962"/>
    <w:rsid w:val="1031606C"/>
    <w:rsid w:val="104E486C"/>
    <w:rsid w:val="10524E07"/>
    <w:rsid w:val="10645E0D"/>
    <w:rsid w:val="10953945"/>
    <w:rsid w:val="10992A51"/>
    <w:rsid w:val="10F77273"/>
    <w:rsid w:val="11292A0B"/>
    <w:rsid w:val="117505E8"/>
    <w:rsid w:val="117855F0"/>
    <w:rsid w:val="11A16A45"/>
    <w:rsid w:val="11BD35D1"/>
    <w:rsid w:val="12127ADE"/>
    <w:rsid w:val="127203E1"/>
    <w:rsid w:val="12DE15D3"/>
    <w:rsid w:val="13313005"/>
    <w:rsid w:val="1340403C"/>
    <w:rsid w:val="13516249"/>
    <w:rsid w:val="136318DF"/>
    <w:rsid w:val="138A3509"/>
    <w:rsid w:val="13F217DA"/>
    <w:rsid w:val="13F275AD"/>
    <w:rsid w:val="13FC535B"/>
    <w:rsid w:val="142179C9"/>
    <w:rsid w:val="142A55DE"/>
    <w:rsid w:val="143F00BE"/>
    <w:rsid w:val="144F4876"/>
    <w:rsid w:val="14540DDB"/>
    <w:rsid w:val="145F04F1"/>
    <w:rsid w:val="14643827"/>
    <w:rsid w:val="149B4BD7"/>
    <w:rsid w:val="14E2187F"/>
    <w:rsid w:val="15195026"/>
    <w:rsid w:val="154047C7"/>
    <w:rsid w:val="154871D8"/>
    <w:rsid w:val="157F3975"/>
    <w:rsid w:val="15861A34"/>
    <w:rsid w:val="159352D7"/>
    <w:rsid w:val="15B43B06"/>
    <w:rsid w:val="15C44483"/>
    <w:rsid w:val="15C72899"/>
    <w:rsid w:val="15E92769"/>
    <w:rsid w:val="160C3C6F"/>
    <w:rsid w:val="16105472"/>
    <w:rsid w:val="161755C9"/>
    <w:rsid w:val="164107F7"/>
    <w:rsid w:val="164C4E8A"/>
    <w:rsid w:val="167E4735"/>
    <w:rsid w:val="1686445B"/>
    <w:rsid w:val="16A95791"/>
    <w:rsid w:val="16D056D6"/>
    <w:rsid w:val="16E41182"/>
    <w:rsid w:val="171224C1"/>
    <w:rsid w:val="17174E4F"/>
    <w:rsid w:val="17244D13"/>
    <w:rsid w:val="172A6749"/>
    <w:rsid w:val="172B5F11"/>
    <w:rsid w:val="174E6F4B"/>
    <w:rsid w:val="17537A20"/>
    <w:rsid w:val="17AD5FEA"/>
    <w:rsid w:val="17BD3EAD"/>
    <w:rsid w:val="17C0399D"/>
    <w:rsid w:val="17CA7ABA"/>
    <w:rsid w:val="17D9214D"/>
    <w:rsid w:val="17E9310E"/>
    <w:rsid w:val="17EF7DDE"/>
    <w:rsid w:val="180715CC"/>
    <w:rsid w:val="18167A61"/>
    <w:rsid w:val="18291542"/>
    <w:rsid w:val="18381785"/>
    <w:rsid w:val="183A374F"/>
    <w:rsid w:val="18637B38"/>
    <w:rsid w:val="187907B9"/>
    <w:rsid w:val="18CD0746"/>
    <w:rsid w:val="18E90CD1"/>
    <w:rsid w:val="18EA32F7"/>
    <w:rsid w:val="18EB2C9C"/>
    <w:rsid w:val="19197809"/>
    <w:rsid w:val="191A69C6"/>
    <w:rsid w:val="19225C54"/>
    <w:rsid w:val="19530DED"/>
    <w:rsid w:val="1963550C"/>
    <w:rsid w:val="196B16E7"/>
    <w:rsid w:val="1971007E"/>
    <w:rsid w:val="19A3235A"/>
    <w:rsid w:val="19AB0116"/>
    <w:rsid w:val="19B44CC3"/>
    <w:rsid w:val="19E31EED"/>
    <w:rsid w:val="1A337381"/>
    <w:rsid w:val="1A410D40"/>
    <w:rsid w:val="1A683FD2"/>
    <w:rsid w:val="1A771617"/>
    <w:rsid w:val="1A9F789A"/>
    <w:rsid w:val="1AB94882"/>
    <w:rsid w:val="1AE9320B"/>
    <w:rsid w:val="1AF31ACB"/>
    <w:rsid w:val="1B1F09DB"/>
    <w:rsid w:val="1B4768B2"/>
    <w:rsid w:val="1B792B9E"/>
    <w:rsid w:val="1B866CAC"/>
    <w:rsid w:val="1BC03F6C"/>
    <w:rsid w:val="1BDE414C"/>
    <w:rsid w:val="1BE22134"/>
    <w:rsid w:val="1C1C4F1A"/>
    <w:rsid w:val="1C7E2CF4"/>
    <w:rsid w:val="1CD06430"/>
    <w:rsid w:val="1D1421F8"/>
    <w:rsid w:val="1D1F1166"/>
    <w:rsid w:val="1D4C5E7C"/>
    <w:rsid w:val="1D6D41EF"/>
    <w:rsid w:val="1D7414B2"/>
    <w:rsid w:val="1D90796E"/>
    <w:rsid w:val="1D9C5AD5"/>
    <w:rsid w:val="1E0A3BC4"/>
    <w:rsid w:val="1E171E3D"/>
    <w:rsid w:val="1E875215"/>
    <w:rsid w:val="1E973172"/>
    <w:rsid w:val="1E995D52"/>
    <w:rsid w:val="1E9D7CFE"/>
    <w:rsid w:val="1EB54A5A"/>
    <w:rsid w:val="1EEB7551"/>
    <w:rsid w:val="1EF87EC0"/>
    <w:rsid w:val="1EFF7485"/>
    <w:rsid w:val="1F2905BE"/>
    <w:rsid w:val="1F481C4B"/>
    <w:rsid w:val="1F536EA5"/>
    <w:rsid w:val="1F766A14"/>
    <w:rsid w:val="1F7F413E"/>
    <w:rsid w:val="1FA140B4"/>
    <w:rsid w:val="1FD40D0E"/>
    <w:rsid w:val="1FD46237"/>
    <w:rsid w:val="1FD55B0C"/>
    <w:rsid w:val="200C1D97"/>
    <w:rsid w:val="20211EC3"/>
    <w:rsid w:val="205272EF"/>
    <w:rsid w:val="207672EF"/>
    <w:rsid w:val="207A7375"/>
    <w:rsid w:val="20BD1F16"/>
    <w:rsid w:val="21187AA6"/>
    <w:rsid w:val="213A47C0"/>
    <w:rsid w:val="21423675"/>
    <w:rsid w:val="21761527"/>
    <w:rsid w:val="21A954A2"/>
    <w:rsid w:val="21C1113B"/>
    <w:rsid w:val="21D25E3F"/>
    <w:rsid w:val="21E728C2"/>
    <w:rsid w:val="220C2760"/>
    <w:rsid w:val="22525B39"/>
    <w:rsid w:val="225418B2"/>
    <w:rsid w:val="22A16179"/>
    <w:rsid w:val="22F020D2"/>
    <w:rsid w:val="23007343"/>
    <w:rsid w:val="230961F8"/>
    <w:rsid w:val="23560257"/>
    <w:rsid w:val="23582CDC"/>
    <w:rsid w:val="239C706C"/>
    <w:rsid w:val="23A56ADD"/>
    <w:rsid w:val="24045789"/>
    <w:rsid w:val="24267F38"/>
    <w:rsid w:val="24362088"/>
    <w:rsid w:val="24557033"/>
    <w:rsid w:val="245B0CD5"/>
    <w:rsid w:val="24AE425F"/>
    <w:rsid w:val="24C849DD"/>
    <w:rsid w:val="24D64800"/>
    <w:rsid w:val="24DB1E16"/>
    <w:rsid w:val="25457290"/>
    <w:rsid w:val="256B319A"/>
    <w:rsid w:val="25911BD2"/>
    <w:rsid w:val="259B3C78"/>
    <w:rsid w:val="25AB17E9"/>
    <w:rsid w:val="25C12DBA"/>
    <w:rsid w:val="25C3644F"/>
    <w:rsid w:val="25F807A6"/>
    <w:rsid w:val="25F933CE"/>
    <w:rsid w:val="262E41C8"/>
    <w:rsid w:val="26307F40"/>
    <w:rsid w:val="26334141"/>
    <w:rsid w:val="26964247"/>
    <w:rsid w:val="27210655"/>
    <w:rsid w:val="27304943"/>
    <w:rsid w:val="275C6092"/>
    <w:rsid w:val="277125BE"/>
    <w:rsid w:val="277B168E"/>
    <w:rsid w:val="277D71B5"/>
    <w:rsid w:val="277F117F"/>
    <w:rsid w:val="278620DB"/>
    <w:rsid w:val="27873B8F"/>
    <w:rsid w:val="278A3680"/>
    <w:rsid w:val="27994E67"/>
    <w:rsid w:val="279C3FA0"/>
    <w:rsid w:val="27A04C51"/>
    <w:rsid w:val="27F60D15"/>
    <w:rsid w:val="27F6425C"/>
    <w:rsid w:val="28277120"/>
    <w:rsid w:val="2829433D"/>
    <w:rsid w:val="28595C3D"/>
    <w:rsid w:val="28646467"/>
    <w:rsid w:val="28A6098D"/>
    <w:rsid w:val="28B323B7"/>
    <w:rsid w:val="28D728F5"/>
    <w:rsid w:val="28ED5968"/>
    <w:rsid w:val="28F9286B"/>
    <w:rsid w:val="294507A6"/>
    <w:rsid w:val="29497D0C"/>
    <w:rsid w:val="295A37A7"/>
    <w:rsid w:val="299F1664"/>
    <w:rsid w:val="29CE1172"/>
    <w:rsid w:val="29ED6C5C"/>
    <w:rsid w:val="29F438F3"/>
    <w:rsid w:val="29FB2613"/>
    <w:rsid w:val="2A022C16"/>
    <w:rsid w:val="2A043BBD"/>
    <w:rsid w:val="2A292D24"/>
    <w:rsid w:val="2A7E2E76"/>
    <w:rsid w:val="2A845ACE"/>
    <w:rsid w:val="2A9F0A77"/>
    <w:rsid w:val="2AC33130"/>
    <w:rsid w:val="2AE15CAC"/>
    <w:rsid w:val="2AE80DE9"/>
    <w:rsid w:val="2B435608"/>
    <w:rsid w:val="2B533A68"/>
    <w:rsid w:val="2B58259A"/>
    <w:rsid w:val="2B6E0157"/>
    <w:rsid w:val="2B7B7EAF"/>
    <w:rsid w:val="2B8A1EA0"/>
    <w:rsid w:val="2BB37649"/>
    <w:rsid w:val="2BBA5C02"/>
    <w:rsid w:val="2BC453B2"/>
    <w:rsid w:val="2BE03A4A"/>
    <w:rsid w:val="2BF0264B"/>
    <w:rsid w:val="2C444593"/>
    <w:rsid w:val="2C4D184B"/>
    <w:rsid w:val="2C7652DE"/>
    <w:rsid w:val="2CBC252D"/>
    <w:rsid w:val="2CC06F3C"/>
    <w:rsid w:val="2CC9010B"/>
    <w:rsid w:val="2CD508DF"/>
    <w:rsid w:val="2CDA6E57"/>
    <w:rsid w:val="2CED6B8B"/>
    <w:rsid w:val="2CF9108B"/>
    <w:rsid w:val="2D2135EE"/>
    <w:rsid w:val="2D375B0B"/>
    <w:rsid w:val="2D412D51"/>
    <w:rsid w:val="2D471203"/>
    <w:rsid w:val="2D602616"/>
    <w:rsid w:val="2D807AA5"/>
    <w:rsid w:val="2D824816"/>
    <w:rsid w:val="2DA77776"/>
    <w:rsid w:val="2DAB1A1C"/>
    <w:rsid w:val="2DBA5991"/>
    <w:rsid w:val="2DC526CA"/>
    <w:rsid w:val="2DD525F9"/>
    <w:rsid w:val="2DDF7234"/>
    <w:rsid w:val="2DE6448B"/>
    <w:rsid w:val="2DE75388"/>
    <w:rsid w:val="2DFB505B"/>
    <w:rsid w:val="2E960AD5"/>
    <w:rsid w:val="2EAA2BD9"/>
    <w:rsid w:val="2EE43FBD"/>
    <w:rsid w:val="2EF76990"/>
    <w:rsid w:val="2F2B1BEC"/>
    <w:rsid w:val="2F3A418C"/>
    <w:rsid w:val="2F4131BE"/>
    <w:rsid w:val="2F414FFA"/>
    <w:rsid w:val="2F510874"/>
    <w:rsid w:val="2FA151A2"/>
    <w:rsid w:val="2FD421D4"/>
    <w:rsid w:val="2FD47B8E"/>
    <w:rsid w:val="2FF13B88"/>
    <w:rsid w:val="2FF3270A"/>
    <w:rsid w:val="30051D09"/>
    <w:rsid w:val="30234671"/>
    <w:rsid w:val="307570D7"/>
    <w:rsid w:val="309D61D2"/>
    <w:rsid w:val="30CB1613"/>
    <w:rsid w:val="30E654E7"/>
    <w:rsid w:val="30F73B34"/>
    <w:rsid w:val="310C0065"/>
    <w:rsid w:val="310E4074"/>
    <w:rsid w:val="311244B1"/>
    <w:rsid w:val="311B2750"/>
    <w:rsid w:val="311E5564"/>
    <w:rsid w:val="312D64CC"/>
    <w:rsid w:val="3138502F"/>
    <w:rsid w:val="31434FCB"/>
    <w:rsid w:val="31505F30"/>
    <w:rsid w:val="315C0D57"/>
    <w:rsid w:val="31BC09FD"/>
    <w:rsid w:val="31D25773"/>
    <w:rsid w:val="31DE2F46"/>
    <w:rsid w:val="32741B8D"/>
    <w:rsid w:val="32B819E9"/>
    <w:rsid w:val="32BD226F"/>
    <w:rsid w:val="32E37AA0"/>
    <w:rsid w:val="32F94366"/>
    <w:rsid w:val="33044C2E"/>
    <w:rsid w:val="334119DE"/>
    <w:rsid w:val="334326C5"/>
    <w:rsid w:val="33504613"/>
    <w:rsid w:val="33680844"/>
    <w:rsid w:val="33AD7544"/>
    <w:rsid w:val="33B2493D"/>
    <w:rsid w:val="34101646"/>
    <w:rsid w:val="341C1B03"/>
    <w:rsid w:val="34225749"/>
    <w:rsid w:val="342D14A4"/>
    <w:rsid w:val="34315406"/>
    <w:rsid w:val="34340712"/>
    <w:rsid w:val="34384BCE"/>
    <w:rsid w:val="3442156A"/>
    <w:rsid w:val="34545741"/>
    <w:rsid w:val="348778C5"/>
    <w:rsid w:val="34B306BA"/>
    <w:rsid w:val="34F8027E"/>
    <w:rsid w:val="350D0C35"/>
    <w:rsid w:val="3510527C"/>
    <w:rsid w:val="351B005A"/>
    <w:rsid w:val="35402A8F"/>
    <w:rsid w:val="355D23D3"/>
    <w:rsid w:val="356B689E"/>
    <w:rsid w:val="356C1F95"/>
    <w:rsid w:val="35BA38DA"/>
    <w:rsid w:val="35F5649C"/>
    <w:rsid w:val="36370E76"/>
    <w:rsid w:val="365A6D70"/>
    <w:rsid w:val="367D3CDF"/>
    <w:rsid w:val="36ED7235"/>
    <w:rsid w:val="36F67A33"/>
    <w:rsid w:val="37355BF1"/>
    <w:rsid w:val="3745169B"/>
    <w:rsid w:val="374E3E1D"/>
    <w:rsid w:val="375F5D68"/>
    <w:rsid w:val="379540A7"/>
    <w:rsid w:val="37DC1DA8"/>
    <w:rsid w:val="37EF1A09"/>
    <w:rsid w:val="37F948FB"/>
    <w:rsid w:val="37FF52AA"/>
    <w:rsid w:val="385E11CD"/>
    <w:rsid w:val="385E7342"/>
    <w:rsid w:val="387B0E40"/>
    <w:rsid w:val="388D1222"/>
    <w:rsid w:val="388F3AA5"/>
    <w:rsid w:val="389615EB"/>
    <w:rsid w:val="38990735"/>
    <w:rsid w:val="38C70607"/>
    <w:rsid w:val="38CD161E"/>
    <w:rsid w:val="3909283A"/>
    <w:rsid w:val="390E5EBF"/>
    <w:rsid w:val="39203900"/>
    <w:rsid w:val="394B7113"/>
    <w:rsid w:val="3966033A"/>
    <w:rsid w:val="396E67D8"/>
    <w:rsid w:val="39C541E9"/>
    <w:rsid w:val="39DC647F"/>
    <w:rsid w:val="3A377697"/>
    <w:rsid w:val="3A4B4F94"/>
    <w:rsid w:val="3A5C534F"/>
    <w:rsid w:val="3A7A198A"/>
    <w:rsid w:val="3A8D375B"/>
    <w:rsid w:val="3A914116"/>
    <w:rsid w:val="3AC84793"/>
    <w:rsid w:val="3AD44EE6"/>
    <w:rsid w:val="3ADB4B13"/>
    <w:rsid w:val="3AE01ADD"/>
    <w:rsid w:val="3B112EBB"/>
    <w:rsid w:val="3B516239"/>
    <w:rsid w:val="3B7177DB"/>
    <w:rsid w:val="3B9528C7"/>
    <w:rsid w:val="3BBB750F"/>
    <w:rsid w:val="3BD53A28"/>
    <w:rsid w:val="3C2D0D52"/>
    <w:rsid w:val="3C553E04"/>
    <w:rsid w:val="3CB2745A"/>
    <w:rsid w:val="3CE31410"/>
    <w:rsid w:val="3CE867B4"/>
    <w:rsid w:val="3D112421"/>
    <w:rsid w:val="3D1141CF"/>
    <w:rsid w:val="3D1E68EC"/>
    <w:rsid w:val="3D3E7A22"/>
    <w:rsid w:val="3D4E71D1"/>
    <w:rsid w:val="3DBC6F0A"/>
    <w:rsid w:val="3DE73182"/>
    <w:rsid w:val="3E0718DF"/>
    <w:rsid w:val="3E0F0C5F"/>
    <w:rsid w:val="3E4573F0"/>
    <w:rsid w:val="3E474440"/>
    <w:rsid w:val="3E602DD4"/>
    <w:rsid w:val="3E9B6A9C"/>
    <w:rsid w:val="3EBF69D8"/>
    <w:rsid w:val="3EC9359F"/>
    <w:rsid w:val="3ECA6D2C"/>
    <w:rsid w:val="3F0538C0"/>
    <w:rsid w:val="3F0B1B5B"/>
    <w:rsid w:val="3F12422F"/>
    <w:rsid w:val="3F147AA8"/>
    <w:rsid w:val="3FB5767C"/>
    <w:rsid w:val="3FD6658F"/>
    <w:rsid w:val="40086360"/>
    <w:rsid w:val="40104C12"/>
    <w:rsid w:val="40167C4E"/>
    <w:rsid w:val="4027501B"/>
    <w:rsid w:val="402E3CC4"/>
    <w:rsid w:val="403233E1"/>
    <w:rsid w:val="403734DC"/>
    <w:rsid w:val="403A3DBC"/>
    <w:rsid w:val="405A7C3B"/>
    <w:rsid w:val="40950D76"/>
    <w:rsid w:val="409B2AEE"/>
    <w:rsid w:val="40E35E83"/>
    <w:rsid w:val="40EA28D3"/>
    <w:rsid w:val="41263FC1"/>
    <w:rsid w:val="412D4F27"/>
    <w:rsid w:val="41361BEA"/>
    <w:rsid w:val="414C3A28"/>
    <w:rsid w:val="415E7BFF"/>
    <w:rsid w:val="41600711"/>
    <w:rsid w:val="41901704"/>
    <w:rsid w:val="41AC7CA2"/>
    <w:rsid w:val="41FA75BA"/>
    <w:rsid w:val="41FD11C6"/>
    <w:rsid w:val="42402E61"/>
    <w:rsid w:val="4278084D"/>
    <w:rsid w:val="427F4F9C"/>
    <w:rsid w:val="42D068DB"/>
    <w:rsid w:val="42EA009C"/>
    <w:rsid w:val="42F15627"/>
    <w:rsid w:val="42FB0B19"/>
    <w:rsid w:val="430345BA"/>
    <w:rsid w:val="43065E58"/>
    <w:rsid w:val="431A7B56"/>
    <w:rsid w:val="432E3DDB"/>
    <w:rsid w:val="435272F0"/>
    <w:rsid w:val="43574906"/>
    <w:rsid w:val="43700D41"/>
    <w:rsid w:val="43BB6C43"/>
    <w:rsid w:val="43DD7542"/>
    <w:rsid w:val="4424262B"/>
    <w:rsid w:val="445A54C2"/>
    <w:rsid w:val="44613C8E"/>
    <w:rsid w:val="44677831"/>
    <w:rsid w:val="44B62EB7"/>
    <w:rsid w:val="44BC74BF"/>
    <w:rsid w:val="44D4283C"/>
    <w:rsid w:val="44EF48D1"/>
    <w:rsid w:val="44F26D52"/>
    <w:rsid w:val="450308A1"/>
    <w:rsid w:val="45126174"/>
    <w:rsid w:val="4537679D"/>
    <w:rsid w:val="454669E0"/>
    <w:rsid w:val="45467BF7"/>
    <w:rsid w:val="454A2974"/>
    <w:rsid w:val="455A72A4"/>
    <w:rsid w:val="45625304"/>
    <w:rsid w:val="45941E41"/>
    <w:rsid w:val="45BD7CDC"/>
    <w:rsid w:val="45C75D73"/>
    <w:rsid w:val="45F4267C"/>
    <w:rsid w:val="45F83D1E"/>
    <w:rsid w:val="463033E4"/>
    <w:rsid w:val="463C1B35"/>
    <w:rsid w:val="464717FE"/>
    <w:rsid w:val="464A0DDF"/>
    <w:rsid w:val="46541B0B"/>
    <w:rsid w:val="46715CDF"/>
    <w:rsid w:val="468E4AE3"/>
    <w:rsid w:val="46AB11C4"/>
    <w:rsid w:val="46DF533E"/>
    <w:rsid w:val="46E510A4"/>
    <w:rsid w:val="471D6852"/>
    <w:rsid w:val="47290367"/>
    <w:rsid w:val="475E7A8B"/>
    <w:rsid w:val="477E4B57"/>
    <w:rsid w:val="4790454D"/>
    <w:rsid w:val="47B522C9"/>
    <w:rsid w:val="47CD0D99"/>
    <w:rsid w:val="47EB386F"/>
    <w:rsid w:val="47EF381E"/>
    <w:rsid w:val="47FE1F9A"/>
    <w:rsid w:val="48181D3F"/>
    <w:rsid w:val="48345216"/>
    <w:rsid w:val="483B1DC3"/>
    <w:rsid w:val="4843772B"/>
    <w:rsid w:val="487D4E0F"/>
    <w:rsid w:val="4884619D"/>
    <w:rsid w:val="489D3633"/>
    <w:rsid w:val="48B4264F"/>
    <w:rsid w:val="48F3642B"/>
    <w:rsid w:val="49004E8E"/>
    <w:rsid w:val="491E7A65"/>
    <w:rsid w:val="492076F7"/>
    <w:rsid w:val="492B483F"/>
    <w:rsid w:val="4930226B"/>
    <w:rsid w:val="493C57C4"/>
    <w:rsid w:val="495024F9"/>
    <w:rsid w:val="49513161"/>
    <w:rsid w:val="495B760C"/>
    <w:rsid w:val="496751FB"/>
    <w:rsid w:val="499F167E"/>
    <w:rsid w:val="49A34DCE"/>
    <w:rsid w:val="49CC47E2"/>
    <w:rsid w:val="49F30C25"/>
    <w:rsid w:val="4A4D2CE3"/>
    <w:rsid w:val="4A5E657A"/>
    <w:rsid w:val="4A633B90"/>
    <w:rsid w:val="4A7E54C2"/>
    <w:rsid w:val="4A821D4E"/>
    <w:rsid w:val="4AAD305D"/>
    <w:rsid w:val="4AAE7501"/>
    <w:rsid w:val="4ABC70AC"/>
    <w:rsid w:val="4ADE2C90"/>
    <w:rsid w:val="4B0272BD"/>
    <w:rsid w:val="4B090BDC"/>
    <w:rsid w:val="4B2A39EC"/>
    <w:rsid w:val="4B783B89"/>
    <w:rsid w:val="4B814C16"/>
    <w:rsid w:val="4BA652E5"/>
    <w:rsid w:val="4BE551A5"/>
    <w:rsid w:val="4BF76C86"/>
    <w:rsid w:val="4BFF5B3B"/>
    <w:rsid w:val="4C1E428B"/>
    <w:rsid w:val="4C5E0AB3"/>
    <w:rsid w:val="4C676388"/>
    <w:rsid w:val="4C7F581C"/>
    <w:rsid w:val="4C856040"/>
    <w:rsid w:val="4CC446E4"/>
    <w:rsid w:val="4D186EB4"/>
    <w:rsid w:val="4D1902D0"/>
    <w:rsid w:val="4D1B2866"/>
    <w:rsid w:val="4D592376"/>
    <w:rsid w:val="4D6A5552"/>
    <w:rsid w:val="4D6B792C"/>
    <w:rsid w:val="4D6E2F78"/>
    <w:rsid w:val="4DA40F81"/>
    <w:rsid w:val="4DBC3CE3"/>
    <w:rsid w:val="4DCB500F"/>
    <w:rsid w:val="4DD54DA5"/>
    <w:rsid w:val="4E14648D"/>
    <w:rsid w:val="4E210DC9"/>
    <w:rsid w:val="4E382A28"/>
    <w:rsid w:val="4E4C125C"/>
    <w:rsid w:val="4E4F682D"/>
    <w:rsid w:val="4E5C64FB"/>
    <w:rsid w:val="4E5E123E"/>
    <w:rsid w:val="4E6879C7"/>
    <w:rsid w:val="4E832DF6"/>
    <w:rsid w:val="4ECB71B5"/>
    <w:rsid w:val="4ED056C5"/>
    <w:rsid w:val="4EDD03B5"/>
    <w:rsid w:val="4F1731E6"/>
    <w:rsid w:val="4F560168"/>
    <w:rsid w:val="4F6208BA"/>
    <w:rsid w:val="502B5150"/>
    <w:rsid w:val="504B75A0"/>
    <w:rsid w:val="506366F8"/>
    <w:rsid w:val="506B379F"/>
    <w:rsid w:val="50707007"/>
    <w:rsid w:val="509D7C75"/>
    <w:rsid w:val="50A10350"/>
    <w:rsid w:val="50BA4FF6"/>
    <w:rsid w:val="50C04D6B"/>
    <w:rsid w:val="50DC3800"/>
    <w:rsid w:val="50ED5940"/>
    <w:rsid w:val="510375FF"/>
    <w:rsid w:val="512F5729"/>
    <w:rsid w:val="514630BC"/>
    <w:rsid w:val="51AC406F"/>
    <w:rsid w:val="51CD20E5"/>
    <w:rsid w:val="51D435BC"/>
    <w:rsid w:val="51DD3CA5"/>
    <w:rsid w:val="521969DC"/>
    <w:rsid w:val="521F224C"/>
    <w:rsid w:val="523F1946"/>
    <w:rsid w:val="525F0456"/>
    <w:rsid w:val="52C11D9C"/>
    <w:rsid w:val="52FE0BBF"/>
    <w:rsid w:val="530A2A4C"/>
    <w:rsid w:val="53373E0C"/>
    <w:rsid w:val="534722A1"/>
    <w:rsid w:val="5379629D"/>
    <w:rsid w:val="538F3C48"/>
    <w:rsid w:val="53B1061A"/>
    <w:rsid w:val="53C5766A"/>
    <w:rsid w:val="53D31089"/>
    <w:rsid w:val="53E8616E"/>
    <w:rsid w:val="53EA25CA"/>
    <w:rsid w:val="53F32429"/>
    <w:rsid w:val="540463E4"/>
    <w:rsid w:val="54260108"/>
    <w:rsid w:val="543F11CA"/>
    <w:rsid w:val="54571AD0"/>
    <w:rsid w:val="54790B80"/>
    <w:rsid w:val="54A252F6"/>
    <w:rsid w:val="54E24B75"/>
    <w:rsid w:val="552E31B7"/>
    <w:rsid w:val="555111B5"/>
    <w:rsid w:val="55C862D0"/>
    <w:rsid w:val="55D41DE6"/>
    <w:rsid w:val="56027B31"/>
    <w:rsid w:val="560721BC"/>
    <w:rsid w:val="56122B57"/>
    <w:rsid w:val="56150435"/>
    <w:rsid w:val="56290384"/>
    <w:rsid w:val="56301712"/>
    <w:rsid w:val="56A25A40"/>
    <w:rsid w:val="56AC391A"/>
    <w:rsid w:val="56B50B20"/>
    <w:rsid w:val="56B54932"/>
    <w:rsid w:val="56B566B1"/>
    <w:rsid w:val="56C244E7"/>
    <w:rsid w:val="56D23B8E"/>
    <w:rsid w:val="56D57BC4"/>
    <w:rsid w:val="56E25499"/>
    <w:rsid w:val="56E80755"/>
    <w:rsid w:val="56EB388B"/>
    <w:rsid w:val="573160EB"/>
    <w:rsid w:val="573F0E1D"/>
    <w:rsid w:val="5753191E"/>
    <w:rsid w:val="57835872"/>
    <w:rsid w:val="57C51537"/>
    <w:rsid w:val="57F16C7F"/>
    <w:rsid w:val="58242BB1"/>
    <w:rsid w:val="582C2879"/>
    <w:rsid w:val="58415025"/>
    <w:rsid w:val="586B6A32"/>
    <w:rsid w:val="586F377C"/>
    <w:rsid w:val="586F7A0C"/>
    <w:rsid w:val="58C14CA7"/>
    <w:rsid w:val="59CC3500"/>
    <w:rsid w:val="59DD5E3D"/>
    <w:rsid w:val="59E92866"/>
    <w:rsid w:val="5A0D3B48"/>
    <w:rsid w:val="5A0E6782"/>
    <w:rsid w:val="5A225816"/>
    <w:rsid w:val="5A280929"/>
    <w:rsid w:val="5A4C4759"/>
    <w:rsid w:val="5A4D7A30"/>
    <w:rsid w:val="5AA8511B"/>
    <w:rsid w:val="5B1213E7"/>
    <w:rsid w:val="5B130FC6"/>
    <w:rsid w:val="5B215ACE"/>
    <w:rsid w:val="5B404FBE"/>
    <w:rsid w:val="5B4D0671"/>
    <w:rsid w:val="5B5A2D8E"/>
    <w:rsid w:val="5B5A7B3C"/>
    <w:rsid w:val="5B7C71A8"/>
    <w:rsid w:val="5BC36241"/>
    <w:rsid w:val="5BCB39E8"/>
    <w:rsid w:val="5BDB3ECE"/>
    <w:rsid w:val="5C484C48"/>
    <w:rsid w:val="5C7B120D"/>
    <w:rsid w:val="5C7E028D"/>
    <w:rsid w:val="5CA249EC"/>
    <w:rsid w:val="5CC538A1"/>
    <w:rsid w:val="5CD050B5"/>
    <w:rsid w:val="5CE6749E"/>
    <w:rsid w:val="5CE67688"/>
    <w:rsid w:val="5CE9261B"/>
    <w:rsid w:val="5CEB6695"/>
    <w:rsid w:val="5D0531AA"/>
    <w:rsid w:val="5D233C79"/>
    <w:rsid w:val="5D6A375C"/>
    <w:rsid w:val="5D812854"/>
    <w:rsid w:val="5DB26673"/>
    <w:rsid w:val="5DB449D7"/>
    <w:rsid w:val="5DD2206D"/>
    <w:rsid w:val="5DDC7A8A"/>
    <w:rsid w:val="5DEC4171"/>
    <w:rsid w:val="5E4C2E61"/>
    <w:rsid w:val="5EA44206"/>
    <w:rsid w:val="5EC45395"/>
    <w:rsid w:val="5ED3492C"/>
    <w:rsid w:val="5EF37781"/>
    <w:rsid w:val="5F125E59"/>
    <w:rsid w:val="5F142ED4"/>
    <w:rsid w:val="5F1A2F60"/>
    <w:rsid w:val="5F22344E"/>
    <w:rsid w:val="5F2755FB"/>
    <w:rsid w:val="5F2E6A0B"/>
    <w:rsid w:val="5F3C16AE"/>
    <w:rsid w:val="5FAA608B"/>
    <w:rsid w:val="5FBE4482"/>
    <w:rsid w:val="5FDB26EF"/>
    <w:rsid w:val="5FED2422"/>
    <w:rsid w:val="60016052"/>
    <w:rsid w:val="60327E35"/>
    <w:rsid w:val="603544E9"/>
    <w:rsid w:val="604F09E7"/>
    <w:rsid w:val="60911000"/>
    <w:rsid w:val="60967CA5"/>
    <w:rsid w:val="60A50EAA"/>
    <w:rsid w:val="60BD5A28"/>
    <w:rsid w:val="60E6759D"/>
    <w:rsid w:val="6110461A"/>
    <w:rsid w:val="611F14AB"/>
    <w:rsid w:val="612A130B"/>
    <w:rsid w:val="614A1496"/>
    <w:rsid w:val="61812E22"/>
    <w:rsid w:val="618563C4"/>
    <w:rsid w:val="61995D95"/>
    <w:rsid w:val="61BA263E"/>
    <w:rsid w:val="61BC02FE"/>
    <w:rsid w:val="61D659BE"/>
    <w:rsid w:val="61F320B5"/>
    <w:rsid w:val="62540537"/>
    <w:rsid w:val="62652744"/>
    <w:rsid w:val="626F1548"/>
    <w:rsid w:val="627A699C"/>
    <w:rsid w:val="628630B9"/>
    <w:rsid w:val="62D17DD9"/>
    <w:rsid w:val="62EA0E9B"/>
    <w:rsid w:val="635A7FAD"/>
    <w:rsid w:val="638135AD"/>
    <w:rsid w:val="63957059"/>
    <w:rsid w:val="639A1555"/>
    <w:rsid w:val="63B0096C"/>
    <w:rsid w:val="640C320C"/>
    <w:rsid w:val="64175442"/>
    <w:rsid w:val="64216B3E"/>
    <w:rsid w:val="643028DD"/>
    <w:rsid w:val="64406FC4"/>
    <w:rsid w:val="64520AA6"/>
    <w:rsid w:val="64664AA2"/>
    <w:rsid w:val="646B1B68"/>
    <w:rsid w:val="647C4A69"/>
    <w:rsid w:val="647C7B30"/>
    <w:rsid w:val="649F0642"/>
    <w:rsid w:val="64B47FC7"/>
    <w:rsid w:val="64F60C68"/>
    <w:rsid w:val="64FA7F9E"/>
    <w:rsid w:val="65126AAB"/>
    <w:rsid w:val="65171492"/>
    <w:rsid w:val="653875CD"/>
    <w:rsid w:val="65754A05"/>
    <w:rsid w:val="65791F76"/>
    <w:rsid w:val="65836EDE"/>
    <w:rsid w:val="658A21EC"/>
    <w:rsid w:val="659A4568"/>
    <w:rsid w:val="65B71594"/>
    <w:rsid w:val="65C7198A"/>
    <w:rsid w:val="65DE7797"/>
    <w:rsid w:val="65DF4536"/>
    <w:rsid w:val="666E3380"/>
    <w:rsid w:val="6678573D"/>
    <w:rsid w:val="667B2536"/>
    <w:rsid w:val="6692787F"/>
    <w:rsid w:val="66B622F4"/>
    <w:rsid w:val="6703252B"/>
    <w:rsid w:val="672A2DDC"/>
    <w:rsid w:val="673F17B5"/>
    <w:rsid w:val="67424500"/>
    <w:rsid w:val="677E43BB"/>
    <w:rsid w:val="67C600DD"/>
    <w:rsid w:val="67CD6277"/>
    <w:rsid w:val="67E17311"/>
    <w:rsid w:val="67F7228C"/>
    <w:rsid w:val="68153AD4"/>
    <w:rsid w:val="683C10FB"/>
    <w:rsid w:val="68660FC4"/>
    <w:rsid w:val="68885003"/>
    <w:rsid w:val="68A12338"/>
    <w:rsid w:val="68A13DAA"/>
    <w:rsid w:val="691C78D4"/>
    <w:rsid w:val="693A48D0"/>
    <w:rsid w:val="694D2884"/>
    <w:rsid w:val="69A9560C"/>
    <w:rsid w:val="69BE5A22"/>
    <w:rsid w:val="69C441F4"/>
    <w:rsid w:val="69DA3B92"/>
    <w:rsid w:val="69F745C9"/>
    <w:rsid w:val="6A4D243B"/>
    <w:rsid w:val="6A5517CE"/>
    <w:rsid w:val="6A7F636D"/>
    <w:rsid w:val="6A941E18"/>
    <w:rsid w:val="6AE64E51"/>
    <w:rsid w:val="6AF705A4"/>
    <w:rsid w:val="6B035A20"/>
    <w:rsid w:val="6B685053"/>
    <w:rsid w:val="6B877897"/>
    <w:rsid w:val="6B9F7EDB"/>
    <w:rsid w:val="6BAC26F5"/>
    <w:rsid w:val="6BAE6F0A"/>
    <w:rsid w:val="6BDE4C2C"/>
    <w:rsid w:val="6C64581A"/>
    <w:rsid w:val="6C7A1F6D"/>
    <w:rsid w:val="6C88775B"/>
    <w:rsid w:val="6C895281"/>
    <w:rsid w:val="6CA200D8"/>
    <w:rsid w:val="6CA65E33"/>
    <w:rsid w:val="6CC30793"/>
    <w:rsid w:val="6CC369E5"/>
    <w:rsid w:val="6CED19B3"/>
    <w:rsid w:val="6D047C43"/>
    <w:rsid w:val="6D21370B"/>
    <w:rsid w:val="6D2351EF"/>
    <w:rsid w:val="6D4F0278"/>
    <w:rsid w:val="6D5A5F9B"/>
    <w:rsid w:val="6D6F26C8"/>
    <w:rsid w:val="6D7221B9"/>
    <w:rsid w:val="6D726375"/>
    <w:rsid w:val="6DA14226"/>
    <w:rsid w:val="6DCB6D93"/>
    <w:rsid w:val="6DE06CD0"/>
    <w:rsid w:val="6E105C5A"/>
    <w:rsid w:val="6E1868BC"/>
    <w:rsid w:val="6E251EBD"/>
    <w:rsid w:val="6E407BC1"/>
    <w:rsid w:val="6E4E6782"/>
    <w:rsid w:val="6E5A6ED5"/>
    <w:rsid w:val="6EA9552C"/>
    <w:rsid w:val="6F0A249D"/>
    <w:rsid w:val="6F7E3ECB"/>
    <w:rsid w:val="6F862CF7"/>
    <w:rsid w:val="6F8E3418"/>
    <w:rsid w:val="6FBC4E2F"/>
    <w:rsid w:val="6FBF3137"/>
    <w:rsid w:val="6FC860C0"/>
    <w:rsid w:val="6FDC3FF8"/>
    <w:rsid w:val="6FDE2FB2"/>
    <w:rsid w:val="6FEA2FED"/>
    <w:rsid w:val="6FFD500B"/>
    <w:rsid w:val="700047DF"/>
    <w:rsid w:val="7027728A"/>
    <w:rsid w:val="70300783"/>
    <w:rsid w:val="706621A8"/>
    <w:rsid w:val="707253E5"/>
    <w:rsid w:val="708C3591"/>
    <w:rsid w:val="70926DFA"/>
    <w:rsid w:val="70D34D1C"/>
    <w:rsid w:val="713B6AD3"/>
    <w:rsid w:val="713F6856"/>
    <w:rsid w:val="71902C0D"/>
    <w:rsid w:val="71BC3C2B"/>
    <w:rsid w:val="71C0786A"/>
    <w:rsid w:val="71EA0570"/>
    <w:rsid w:val="71F47640"/>
    <w:rsid w:val="720B619D"/>
    <w:rsid w:val="72141A90"/>
    <w:rsid w:val="7229553C"/>
    <w:rsid w:val="729F75AC"/>
    <w:rsid w:val="72AC5C73"/>
    <w:rsid w:val="72AF1FFE"/>
    <w:rsid w:val="72B84D07"/>
    <w:rsid w:val="72D03C09"/>
    <w:rsid w:val="72EC050E"/>
    <w:rsid w:val="72F63973"/>
    <w:rsid w:val="73373C88"/>
    <w:rsid w:val="73644352"/>
    <w:rsid w:val="737F0F2C"/>
    <w:rsid w:val="738C1BA4"/>
    <w:rsid w:val="738C400F"/>
    <w:rsid w:val="73AD3F4B"/>
    <w:rsid w:val="73D40519"/>
    <w:rsid w:val="73E20218"/>
    <w:rsid w:val="73E32513"/>
    <w:rsid w:val="742463DE"/>
    <w:rsid w:val="74291F2E"/>
    <w:rsid w:val="74406B6D"/>
    <w:rsid w:val="745B53DB"/>
    <w:rsid w:val="746E2181"/>
    <w:rsid w:val="749D565F"/>
    <w:rsid w:val="74B17369"/>
    <w:rsid w:val="74D702EB"/>
    <w:rsid w:val="74F033AB"/>
    <w:rsid w:val="751A5610"/>
    <w:rsid w:val="758F321E"/>
    <w:rsid w:val="759E127A"/>
    <w:rsid w:val="759F78C3"/>
    <w:rsid w:val="75BA294F"/>
    <w:rsid w:val="75E654F2"/>
    <w:rsid w:val="760D2A7F"/>
    <w:rsid w:val="76197675"/>
    <w:rsid w:val="76595CC4"/>
    <w:rsid w:val="768F338C"/>
    <w:rsid w:val="76964D21"/>
    <w:rsid w:val="76980C33"/>
    <w:rsid w:val="76982C90"/>
    <w:rsid w:val="76B61368"/>
    <w:rsid w:val="76BB5586"/>
    <w:rsid w:val="76C21ABB"/>
    <w:rsid w:val="76C429C0"/>
    <w:rsid w:val="76D53613"/>
    <w:rsid w:val="76DD48B7"/>
    <w:rsid w:val="76EE0B02"/>
    <w:rsid w:val="771C53D8"/>
    <w:rsid w:val="77511C80"/>
    <w:rsid w:val="775F555C"/>
    <w:rsid w:val="77642071"/>
    <w:rsid w:val="77644920"/>
    <w:rsid w:val="77A64B50"/>
    <w:rsid w:val="77F13F36"/>
    <w:rsid w:val="780E2ADE"/>
    <w:rsid w:val="782621EC"/>
    <w:rsid w:val="7826607A"/>
    <w:rsid w:val="78503DA5"/>
    <w:rsid w:val="785762ED"/>
    <w:rsid w:val="787119EB"/>
    <w:rsid w:val="78864B48"/>
    <w:rsid w:val="789A755D"/>
    <w:rsid w:val="78D13A8C"/>
    <w:rsid w:val="7927654D"/>
    <w:rsid w:val="792A433C"/>
    <w:rsid w:val="792F0F5E"/>
    <w:rsid w:val="79424421"/>
    <w:rsid w:val="795B34D6"/>
    <w:rsid w:val="79A82E00"/>
    <w:rsid w:val="79F74F7E"/>
    <w:rsid w:val="79F96EFA"/>
    <w:rsid w:val="7A0E3CB1"/>
    <w:rsid w:val="7A205476"/>
    <w:rsid w:val="7A5169B7"/>
    <w:rsid w:val="7A56163D"/>
    <w:rsid w:val="7A81055A"/>
    <w:rsid w:val="7AB35899"/>
    <w:rsid w:val="7ACA3634"/>
    <w:rsid w:val="7AD95625"/>
    <w:rsid w:val="7ADC77A9"/>
    <w:rsid w:val="7B0D3704"/>
    <w:rsid w:val="7B2A40D3"/>
    <w:rsid w:val="7B4C229B"/>
    <w:rsid w:val="7B8C157A"/>
    <w:rsid w:val="7B8D17FF"/>
    <w:rsid w:val="7BB40C45"/>
    <w:rsid w:val="7BD366EA"/>
    <w:rsid w:val="7C8141C6"/>
    <w:rsid w:val="7CD36C81"/>
    <w:rsid w:val="7CEA644A"/>
    <w:rsid w:val="7D3D43E8"/>
    <w:rsid w:val="7D832325"/>
    <w:rsid w:val="7DAA5057"/>
    <w:rsid w:val="7DAF266D"/>
    <w:rsid w:val="7DC51E91"/>
    <w:rsid w:val="7DF5350A"/>
    <w:rsid w:val="7E094AAB"/>
    <w:rsid w:val="7E2117BD"/>
    <w:rsid w:val="7E2A0282"/>
    <w:rsid w:val="7E492AC2"/>
    <w:rsid w:val="7E903A6C"/>
    <w:rsid w:val="7E953F59"/>
    <w:rsid w:val="7E9A0745"/>
    <w:rsid w:val="7EB00E01"/>
    <w:rsid w:val="7EC14D4E"/>
    <w:rsid w:val="7ECD724F"/>
    <w:rsid w:val="7F0614FB"/>
    <w:rsid w:val="7F1C4F25"/>
    <w:rsid w:val="7F565B5F"/>
    <w:rsid w:val="7F587460"/>
    <w:rsid w:val="7F836ADC"/>
    <w:rsid w:val="7F89586C"/>
    <w:rsid w:val="7F8C4C3D"/>
    <w:rsid w:val="7F9D6B41"/>
    <w:rsid w:val="7FAB3A34"/>
    <w:rsid w:val="7FC56178"/>
    <w:rsid w:val="7FCB5E84"/>
    <w:rsid w:val="7FD20FF5"/>
    <w:rsid w:val="7FF12376"/>
    <w:rsid w:val="937D183C"/>
    <w:rsid w:val="FFE70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zh-CN" w:bidi="ar-SA"/>
    </w:rPr>
  </w:style>
  <w:style w:type="paragraph" w:styleId="2">
    <w:name w:val="heading 1"/>
    <w:basedOn w:val="1"/>
    <w:next w:val="1"/>
    <w:link w:val="54"/>
    <w:qFormat/>
    <w:uiPriority w:val="0"/>
    <w:pPr>
      <w:keepNext/>
      <w:keepLines/>
      <w:widowControl/>
      <w:spacing w:before="340" w:after="330" w:line="578" w:lineRule="auto"/>
      <w:outlineLvl w:val="0"/>
    </w:pPr>
    <w:rPr>
      <w:rFonts w:ascii="宋体" w:hAnsi="宋体" w:eastAsia="宋体" w:cs="宋体"/>
      <w:b/>
      <w:bCs/>
      <w:color w:val="auto"/>
      <w:kern w:val="44"/>
      <w:sz w:val="44"/>
      <w:szCs w:val="44"/>
    </w:rPr>
  </w:style>
  <w:style w:type="paragraph" w:styleId="3">
    <w:name w:val="heading 2"/>
    <w:basedOn w:val="1"/>
    <w:next w:val="1"/>
    <w:link w:val="5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49"/>
    <w:unhideWhenUsed/>
    <w:qFormat/>
    <w:uiPriority w:val="0"/>
  </w:style>
  <w:style w:type="paragraph" w:styleId="7">
    <w:name w:val="Body Text"/>
    <w:basedOn w:val="1"/>
    <w:qFormat/>
    <w:uiPriority w:val="0"/>
    <w:rPr>
      <w:rFonts w:ascii="宋体" w:hAnsi="宋体" w:eastAsia="宋体" w:cs="宋体"/>
      <w:sz w:val="27"/>
      <w:szCs w:val="27"/>
      <w:lang w:val="en-US" w:eastAsia="en-US" w:bidi="ar-SA"/>
    </w:rPr>
  </w:style>
  <w:style w:type="paragraph" w:styleId="8">
    <w:name w:val="Date"/>
    <w:basedOn w:val="1"/>
    <w:next w:val="1"/>
    <w:link w:val="55"/>
    <w:semiHidden/>
    <w:unhideWhenUsed/>
    <w:qFormat/>
    <w:uiPriority w:val="99"/>
    <w:pPr>
      <w:ind w:left="100" w:leftChars="2500"/>
    </w:pPr>
  </w:style>
  <w:style w:type="paragraph" w:styleId="9">
    <w:name w:val="Balloon Text"/>
    <w:basedOn w:val="1"/>
    <w:link w:val="51"/>
    <w:semiHidden/>
    <w:unhideWhenUsed/>
    <w:qFormat/>
    <w:uiPriority w:val="99"/>
    <w:rPr>
      <w:sz w:val="18"/>
      <w:szCs w:val="18"/>
    </w:rPr>
  </w:style>
  <w:style w:type="paragraph" w:styleId="10">
    <w:name w:val="footer"/>
    <w:basedOn w:val="1"/>
    <w:link w:val="53"/>
    <w:unhideWhenUsed/>
    <w:qFormat/>
    <w:uiPriority w:val="99"/>
    <w:pPr>
      <w:tabs>
        <w:tab w:val="center" w:pos="4153"/>
        <w:tab w:val="right" w:pos="8306"/>
      </w:tabs>
      <w:snapToGrid w:val="0"/>
    </w:pPr>
    <w:rPr>
      <w:sz w:val="18"/>
      <w:szCs w:val="18"/>
    </w:rPr>
  </w:style>
  <w:style w:type="paragraph" w:styleId="11">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Normal (Web)"/>
    <w:basedOn w:val="1"/>
    <w:semiHidden/>
    <w:unhideWhenUsed/>
    <w:qFormat/>
    <w:uiPriority w:val="99"/>
    <w:pPr>
      <w:widowControl/>
      <w:spacing w:before="100" w:beforeAutospacing="1" w:after="100" w:afterAutospacing="1"/>
    </w:pPr>
    <w:rPr>
      <w:rFonts w:ascii="宋体" w:hAnsi="宋体" w:eastAsia="宋体" w:cs="宋体"/>
      <w:color w:val="auto"/>
    </w:rPr>
  </w:style>
  <w:style w:type="paragraph" w:styleId="15">
    <w:name w:val="annotation subject"/>
    <w:basedOn w:val="6"/>
    <w:next w:val="6"/>
    <w:link w:val="50"/>
    <w:semiHidden/>
    <w:unhideWhenUsed/>
    <w:qFormat/>
    <w:uiPriority w:val="99"/>
    <w:rPr>
      <w:b/>
      <w:bCs/>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rPr>
  </w:style>
  <w:style w:type="character" w:styleId="20">
    <w:name w:val="Emphasis"/>
    <w:basedOn w:val="18"/>
    <w:qFormat/>
    <w:uiPriority w:val="20"/>
    <w:rPr>
      <w:i/>
      <w:iCs/>
    </w:rPr>
  </w:style>
  <w:style w:type="character" w:styleId="21">
    <w:name w:val="Hyperlink"/>
    <w:basedOn w:val="18"/>
    <w:unhideWhenUsed/>
    <w:qFormat/>
    <w:uiPriority w:val="99"/>
    <w:rPr>
      <w:color w:val="0000FF" w:themeColor="hyperlink"/>
      <w:u w:val="single"/>
      <w14:textFill>
        <w14:solidFill>
          <w14:schemeClr w14:val="hlink"/>
        </w14:solidFill>
      </w14:textFill>
    </w:rPr>
  </w:style>
  <w:style w:type="character" w:styleId="22">
    <w:name w:val="annotation reference"/>
    <w:basedOn w:val="18"/>
    <w:unhideWhenUsed/>
    <w:qFormat/>
    <w:uiPriority w:val="0"/>
    <w:rPr>
      <w:sz w:val="21"/>
      <w:szCs w:val="21"/>
    </w:rPr>
  </w:style>
  <w:style w:type="character" w:customStyle="1" w:styleId="23">
    <w:name w:val="Body text|2_"/>
    <w:basedOn w:val="18"/>
    <w:link w:val="24"/>
    <w:qFormat/>
    <w:uiPriority w:val="0"/>
    <w:rPr>
      <w:sz w:val="28"/>
      <w:szCs w:val="28"/>
      <w:u w:val="none"/>
      <w:shd w:val="clear" w:color="auto" w:fill="auto"/>
    </w:rPr>
  </w:style>
  <w:style w:type="paragraph" w:customStyle="1" w:styleId="24">
    <w:name w:val="Body text|2"/>
    <w:basedOn w:val="1"/>
    <w:link w:val="23"/>
    <w:qFormat/>
    <w:uiPriority w:val="0"/>
    <w:pPr>
      <w:spacing w:after="2340"/>
      <w:jc w:val="center"/>
    </w:pPr>
    <w:rPr>
      <w:sz w:val="28"/>
      <w:szCs w:val="28"/>
    </w:rPr>
  </w:style>
  <w:style w:type="character" w:customStyle="1" w:styleId="25">
    <w:name w:val="Heading #2|1_"/>
    <w:basedOn w:val="18"/>
    <w:link w:val="26"/>
    <w:qFormat/>
    <w:uiPriority w:val="0"/>
    <w:rPr>
      <w:rFonts w:ascii="宋体" w:hAnsi="宋体" w:eastAsia="宋体" w:cs="宋体"/>
      <w:sz w:val="48"/>
      <w:szCs w:val="48"/>
      <w:u w:val="none"/>
      <w:shd w:val="clear" w:color="auto" w:fill="auto"/>
      <w:lang w:val="zh-TW" w:eastAsia="zh-TW" w:bidi="zh-TW"/>
    </w:rPr>
  </w:style>
  <w:style w:type="paragraph" w:customStyle="1" w:styleId="26">
    <w:name w:val="Heading #2|1"/>
    <w:basedOn w:val="1"/>
    <w:link w:val="25"/>
    <w:qFormat/>
    <w:uiPriority w:val="0"/>
    <w:pPr>
      <w:spacing w:after="160"/>
      <w:jc w:val="center"/>
      <w:outlineLvl w:val="1"/>
    </w:pPr>
    <w:rPr>
      <w:rFonts w:ascii="宋体" w:hAnsi="宋体" w:eastAsia="宋体" w:cs="宋体"/>
      <w:sz w:val="48"/>
      <w:szCs w:val="48"/>
      <w:lang w:val="zh-TW" w:eastAsia="zh-TW" w:bidi="zh-TW"/>
    </w:rPr>
  </w:style>
  <w:style w:type="character" w:customStyle="1" w:styleId="27">
    <w:name w:val="Heading #1|1_"/>
    <w:basedOn w:val="18"/>
    <w:link w:val="28"/>
    <w:qFormat/>
    <w:uiPriority w:val="0"/>
    <w:rPr>
      <w:sz w:val="132"/>
      <w:szCs w:val="132"/>
      <w:u w:val="none"/>
      <w:shd w:val="clear" w:color="auto" w:fill="auto"/>
    </w:rPr>
  </w:style>
  <w:style w:type="paragraph" w:customStyle="1" w:styleId="28">
    <w:name w:val="Heading #1|1"/>
    <w:basedOn w:val="1"/>
    <w:link w:val="27"/>
    <w:qFormat/>
    <w:uiPriority w:val="0"/>
    <w:pPr>
      <w:jc w:val="right"/>
      <w:outlineLvl w:val="0"/>
    </w:pPr>
    <w:rPr>
      <w:sz w:val="132"/>
      <w:szCs w:val="132"/>
    </w:rPr>
  </w:style>
  <w:style w:type="character" w:customStyle="1" w:styleId="29">
    <w:name w:val="Body text|4_"/>
    <w:basedOn w:val="18"/>
    <w:link w:val="30"/>
    <w:qFormat/>
    <w:uiPriority w:val="0"/>
    <w:rPr>
      <w:rFonts w:ascii="宋体" w:hAnsi="宋体" w:eastAsia="宋体" w:cs="宋体"/>
      <w:sz w:val="28"/>
      <w:szCs w:val="28"/>
      <w:u w:val="none"/>
      <w:shd w:val="clear" w:color="auto" w:fill="auto"/>
      <w:lang w:val="zh-TW" w:eastAsia="zh-TW" w:bidi="zh-TW"/>
    </w:rPr>
  </w:style>
  <w:style w:type="paragraph" w:customStyle="1" w:styleId="30">
    <w:name w:val="Body text|4"/>
    <w:basedOn w:val="1"/>
    <w:link w:val="29"/>
    <w:qFormat/>
    <w:uiPriority w:val="0"/>
    <w:pPr>
      <w:spacing w:after="670" w:line="355" w:lineRule="exact"/>
      <w:jc w:val="center"/>
    </w:pPr>
    <w:rPr>
      <w:rFonts w:ascii="宋体" w:hAnsi="宋体" w:eastAsia="宋体" w:cs="宋体"/>
      <w:sz w:val="28"/>
      <w:szCs w:val="28"/>
      <w:lang w:val="zh-TW" w:eastAsia="zh-TW" w:bidi="zh-TW"/>
    </w:rPr>
  </w:style>
  <w:style w:type="character" w:customStyle="1" w:styleId="31">
    <w:name w:val="Body text|3_"/>
    <w:basedOn w:val="18"/>
    <w:link w:val="32"/>
    <w:qFormat/>
    <w:uiPriority w:val="0"/>
    <w:rPr>
      <w:sz w:val="20"/>
      <w:szCs w:val="20"/>
      <w:u w:val="none"/>
      <w:shd w:val="clear" w:color="auto" w:fill="auto"/>
    </w:rPr>
  </w:style>
  <w:style w:type="paragraph" w:customStyle="1" w:styleId="32">
    <w:name w:val="Body text|3"/>
    <w:basedOn w:val="1"/>
    <w:link w:val="31"/>
    <w:qFormat/>
    <w:uiPriority w:val="0"/>
    <w:pPr>
      <w:spacing w:after="1020"/>
      <w:jc w:val="center"/>
    </w:pPr>
    <w:rPr>
      <w:sz w:val="20"/>
      <w:szCs w:val="20"/>
    </w:rPr>
  </w:style>
  <w:style w:type="character" w:customStyle="1" w:styleId="33">
    <w:name w:val="Body text|1_"/>
    <w:basedOn w:val="18"/>
    <w:link w:val="34"/>
    <w:qFormat/>
    <w:uiPriority w:val="0"/>
    <w:rPr>
      <w:rFonts w:ascii="宋体" w:hAnsi="宋体" w:eastAsia="宋体" w:cs="宋体"/>
      <w:sz w:val="20"/>
      <w:szCs w:val="20"/>
      <w:u w:val="none"/>
      <w:shd w:val="clear" w:color="auto" w:fill="auto"/>
      <w:lang w:val="zh-TW" w:eastAsia="zh-TW" w:bidi="zh-TW"/>
    </w:rPr>
  </w:style>
  <w:style w:type="paragraph" w:customStyle="1" w:styleId="34">
    <w:name w:val="Body text|1"/>
    <w:basedOn w:val="1"/>
    <w:link w:val="33"/>
    <w:qFormat/>
    <w:uiPriority w:val="0"/>
    <w:pPr>
      <w:spacing w:line="432" w:lineRule="auto"/>
    </w:pPr>
    <w:rPr>
      <w:rFonts w:ascii="宋体" w:hAnsi="宋体" w:eastAsia="宋体" w:cs="宋体"/>
      <w:sz w:val="20"/>
      <w:szCs w:val="20"/>
      <w:lang w:val="zh-TW" w:eastAsia="zh-TW" w:bidi="zh-TW"/>
    </w:rPr>
  </w:style>
  <w:style w:type="character" w:customStyle="1" w:styleId="35">
    <w:name w:val="Header or footer|2_"/>
    <w:basedOn w:val="18"/>
    <w:link w:val="36"/>
    <w:qFormat/>
    <w:uiPriority w:val="0"/>
    <w:rPr>
      <w:sz w:val="20"/>
      <w:szCs w:val="20"/>
      <w:u w:val="none"/>
      <w:shd w:val="clear" w:color="auto" w:fill="auto"/>
      <w:lang w:val="zh-TW" w:eastAsia="zh-TW" w:bidi="zh-TW"/>
    </w:rPr>
  </w:style>
  <w:style w:type="paragraph" w:customStyle="1" w:styleId="36">
    <w:name w:val="Header or footer|2"/>
    <w:basedOn w:val="1"/>
    <w:link w:val="35"/>
    <w:qFormat/>
    <w:uiPriority w:val="0"/>
    <w:rPr>
      <w:sz w:val="20"/>
      <w:szCs w:val="20"/>
      <w:lang w:val="zh-TW" w:eastAsia="zh-TW" w:bidi="zh-TW"/>
    </w:rPr>
  </w:style>
  <w:style w:type="character" w:customStyle="1" w:styleId="37">
    <w:name w:val="Other|1_"/>
    <w:basedOn w:val="18"/>
    <w:link w:val="38"/>
    <w:qFormat/>
    <w:uiPriority w:val="0"/>
    <w:rPr>
      <w:rFonts w:ascii="宋体" w:hAnsi="宋体" w:eastAsia="宋体" w:cs="宋体"/>
      <w:sz w:val="20"/>
      <w:szCs w:val="20"/>
      <w:u w:val="none"/>
      <w:shd w:val="clear" w:color="auto" w:fill="auto"/>
      <w:lang w:val="zh-TW" w:eastAsia="zh-TW" w:bidi="zh-TW"/>
    </w:rPr>
  </w:style>
  <w:style w:type="paragraph" w:customStyle="1" w:styleId="38">
    <w:name w:val="Other|1"/>
    <w:basedOn w:val="1"/>
    <w:link w:val="37"/>
    <w:qFormat/>
    <w:uiPriority w:val="0"/>
    <w:pPr>
      <w:spacing w:line="432" w:lineRule="auto"/>
    </w:pPr>
    <w:rPr>
      <w:rFonts w:ascii="宋体" w:hAnsi="宋体" w:eastAsia="宋体" w:cs="宋体"/>
      <w:sz w:val="20"/>
      <w:szCs w:val="20"/>
      <w:lang w:val="zh-TW" w:eastAsia="zh-TW" w:bidi="zh-TW"/>
    </w:rPr>
  </w:style>
  <w:style w:type="character" w:customStyle="1" w:styleId="39">
    <w:name w:val="Table of contents|1_"/>
    <w:basedOn w:val="18"/>
    <w:link w:val="40"/>
    <w:qFormat/>
    <w:uiPriority w:val="0"/>
    <w:rPr>
      <w:sz w:val="20"/>
      <w:szCs w:val="20"/>
      <w:u w:val="none"/>
      <w:shd w:val="clear" w:color="auto" w:fill="auto"/>
    </w:rPr>
  </w:style>
  <w:style w:type="paragraph" w:customStyle="1" w:styleId="40">
    <w:name w:val="Table of contents|1"/>
    <w:basedOn w:val="1"/>
    <w:link w:val="39"/>
    <w:qFormat/>
    <w:uiPriority w:val="0"/>
    <w:pPr>
      <w:spacing w:after="200"/>
    </w:pPr>
    <w:rPr>
      <w:sz w:val="20"/>
      <w:szCs w:val="20"/>
    </w:rPr>
  </w:style>
  <w:style w:type="character" w:customStyle="1" w:styleId="41">
    <w:name w:val="Body text|5_"/>
    <w:basedOn w:val="18"/>
    <w:link w:val="42"/>
    <w:qFormat/>
    <w:uiPriority w:val="0"/>
    <w:rPr>
      <w:sz w:val="17"/>
      <w:szCs w:val="17"/>
      <w:u w:val="none"/>
      <w:shd w:val="clear" w:color="auto" w:fill="auto"/>
      <w:lang w:val="zh-TW" w:eastAsia="zh-TW" w:bidi="zh-TW"/>
    </w:rPr>
  </w:style>
  <w:style w:type="paragraph" w:customStyle="1" w:styleId="42">
    <w:name w:val="Body text|5"/>
    <w:basedOn w:val="1"/>
    <w:link w:val="41"/>
    <w:qFormat/>
    <w:uiPriority w:val="0"/>
    <w:pPr>
      <w:spacing w:after="220"/>
      <w:jc w:val="center"/>
    </w:pPr>
    <w:rPr>
      <w:sz w:val="17"/>
      <w:szCs w:val="17"/>
      <w:lang w:val="zh-TW" w:eastAsia="zh-TW" w:bidi="zh-TW"/>
    </w:rPr>
  </w:style>
  <w:style w:type="character" w:customStyle="1" w:styleId="43">
    <w:name w:val="Header or footer|1_"/>
    <w:basedOn w:val="18"/>
    <w:link w:val="44"/>
    <w:qFormat/>
    <w:uiPriority w:val="0"/>
    <w:rPr>
      <w:sz w:val="17"/>
      <w:szCs w:val="17"/>
      <w:u w:val="none"/>
      <w:shd w:val="clear" w:color="auto" w:fill="auto"/>
      <w:lang w:val="zh-TW" w:eastAsia="zh-TW" w:bidi="zh-TW"/>
    </w:rPr>
  </w:style>
  <w:style w:type="paragraph" w:customStyle="1" w:styleId="44">
    <w:name w:val="Header or footer|1"/>
    <w:basedOn w:val="1"/>
    <w:link w:val="43"/>
    <w:qFormat/>
    <w:uiPriority w:val="0"/>
    <w:rPr>
      <w:sz w:val="17"/>
      <w:szCs w:val="17"/>
      <w:lang w:val="zh-TW" w:eastAsia="zh-TW" w:bidi="zh-TW"/>
    </w:rPr>
  </w:style>
  <w:style w:type="character" w:customStyle="1" w:styleId="45">
    <w:name w:val="Table caption|1_"/>
    <w:basedOn w:val="18"/>
    <w:link w:val="46"/>
    <w:qFormat/>
    <w:uiPriority w:val="0"/>
    <w:rPr>
      <w:rFonts w:ascii="宋体" w:hAnsi="宋体" w:eastAsia="宋体" w:cs="宋体"/>
      <w:sz w:val="22"/>
      <w:szCs w:val="22"/>
      <w:u w:val="none"/>
      <w:shd w:val="clear" w:color="auto" w:fill="auto"/>
      <w:lang w:val="zh-TW" w:eastAsia="zh-TW" w:bidi="zh-TW"/>
    </w:rPr>
  </w:style>
  <w:style w:type="paragraph" w:customStyle="1" w:styleId="46">
    <w:name w:val="Table caption|1"/>
    <w:basedOn w:val="1"/>
    <w:link w:val="45"/>
    <w:qFormat/>
    <w:uiPriority w:val="0"/>
    <w:pPr>
      <w:jc w:val="center"/>
    </w:pPr>
    <w:rPr>
      <w:rFonts w:ascii="宋体" w:hAnsi="宋体" w:eastAsia="宋体" w:cs="宋体"/>
      <w:sz w:val="22"/>
      <w:szCs w:val="22"/>
      <w:lang w:val="zh-TW" w:eastAsia="zh-TW" w:bidi="zh-TW"/>
    </w:rPr>
  </w:style>
  <w:style w:type="character" w:customStyle="1" w:styleId="47">
    <w:name w:val="Other|2_"/>
    <w:basedOn w:val="18"/>
    <w:link w:val="48"/>
    <w:qFormat/>
    <w:uiPriority w:val="0"/>
    <w:rPr>
      <w:rFonts w:ascii="宋体" w:hAnsi="宋体" w:eastAsia="宋体" w:cs="宋体"/>
      <w:sz w:val="20"/>
      <w:szCs w:val="20"/>
      <w:u w:val="none"/>
      <w:shd w:val="clear" w:color="auto" w:fill="auto"/>
      <w:lang w:val="zh-TW" w:eastAsia="zh-TW" w:bidi="zh-TW"/>
    </w:rPr>
  </w:style>
  <w:style w:type="paragraph" w:customStyle="1" w:styleId="48">
    <w:name w:val="Other|2"/>
    <w:basedOn w:val="1"/>
    <w:link w:val="47"/>
    <w:qFormat/>
    <w:uiPriority w:val="0"/>
    <w:pPr>
      <w:jc w:val="center"/>
    </w:pPr>
    <w:rPr>
      <w:rFonts w:ascii="宋体" w:hAnsi="宋体" w:eastAsia="宋体" w:cs="宋体"/>
      <w:sz w:val="20"/>
      <w:szCs w:val="20"/>
      <w:lang w:val="zh-TW" w:eastAsia="zh-TW" w:bidi="zh-TW"/>
    </w:rPr>
  </w:style>
  <w:style w:type="character" w:customStyle="1" w:styleId="49">
    <w:name w:val="批注文字 Char"/>
    <w:basedOn w:val="18"/>
    <w:link w:val="6"/>
    <w:semiHidden/>
    <w:qFormat/>
    <w:uiPriority w:val="99"/>
    <w:rPr>
      <w:rFonts w:eastAsia="Times New Roman"/>
      <w:color w:val="000000"/>
    </w:rPr>
  </w:style>
  <w:style w:type="character" w:customStyle="1" w:styleId="50">
    <w:name w:val="批注主题 Char"/>
    <w:basedOn w:val="49"/>
    <w:link w:val="15"/>
    <w:semiHidden/>
    <w:qFormat/>
    <w:uiPriority w:val="99"/>
    <w:rPr>
      <w:rFonts w:eastAsia="Times New Roman"/>
      <w:b/>
      <w:bCs/>
      <w:color w:val="000000"/>
    </w:rPr>
  </w:style>
  <w:style w:type="character" w:customStyle="1" w:styleId="51">
    <w:name w:val="批注框文本 Char"/>
    <w:basedOn w:val="18"/>
    <w:link w:val="9"/>
    <w:semiHidden/>
    <w:qFormat/>
    <w:uiPriority w:val="99"/>
    <w:rPr>
      <w:rFonts w:eastAsia="Times New Roman"/>
      <w:color w:val="000000"/>
      <w:sz w:val="18"/>
      <w:szCs w:val="18"/>
    </w:rPr>
  </w:style>
  <w:style w:type="character" w:customStyle="1" w:styleId="52">
    <w:name w:val="页眉 Char"/>
    <w:basedOn w:val="18"/>
    <w:link w:val="11"/>
    <w:qFormat/>
    <w:uiPriority w:val="99"/>
    <w:rPr>
      <w:rFonts w:eastAsia="Times New Roman"/>
      <w:color w:val="000000"/>
      <w:sz w:val="18"/>
      <w:szCs w:val="18"/>
    </w:rPr>
  </w:style>
  <w:style w:type="character" w:customStyle="1" w:styleId="53">
    <w:name w:val="页脚 Char"/>
    <w:basedOn w:val="18"/>
    <w:link w:val="10"/>
    <w:qFormat/>
    <w:uiPriority w:val="99"/>
    <w:rPr>
      <w:rFonts w:eastAsia="Times New Roman"/>
      <w:color w:val="000000"/>
      <w:sz w:val="18"/>
      <w:szCs w:val="18"/>
    </w:rPr>
  </w:style>
  <w:style w:type="character" w:customStyle="1" w:styleId="54">
    <w:name w:val="标题 1 Char"/>
    <w:basedOn w:val="18"/>
    <w:link w:val="2"/>
    <w:qFormat/>
    <w:uiPriority w:val="0"/>
    <w:rPr>
      <w:rFonts w:ascii="宋体" w:hAnsi="宋体" w:eastAsia="宋体" w:cs="宋体"/>
      <w:b/>
      <w:bCs/>
      <w:kern w:val="44"/>
      <w:sz w:val="44"/>
      <w:szCs w:val="44"/>
      <w:lang w:eastAsia="zh-CN" w:bidi="ar-SA"/>
    </w:rPr>
  </w:style>
  <w:style w:type="character" w:customStyle="1" w:styleId="55">
    <w:name w:val="日期 Char"/>
    <w:basedOn w:val="18"/>
    <w:link w:val="8"/>
    <w:semiHidden/>
    <w:qFormat/>
    <w:uiPriority w:val="99"/>
    <w:rPr>
      <w:rFonts w:eastAsia="Times New Roman"/>
      <w:color w:val="000000"/>
    </w:rPr>
  </w:style>
  <w:style w:type="character" w:customStyle="1" w:styleId="56">
    <w:name w:val="标题 2 Char"/>
    <w:basedOn w:val="18"/>
    <w:link w:val="3"/>
    <w:qFormat/>
    <w:uiPriority w:val="9"/>
    <w:rPr>
      <w:rFonts w:asciiTheme="majorHAnsi" w:hAnsiTheme="majorHAnsi" w:eastAsiaTheme="majorEastAsia" w:cstheme="majorBidi"/>
      <w:b/>
      <w:bCs/>
      <w:color w:val="000000"/>
      <w:sz w:val="32"/>
      <w:szCs w:val="32"/>
    </w:rPr>
  </w:style>
  <w:style w:type="paragraph" w:customStyle="1" w:styleId="57">
    <w:name w:val="TOC 标题1"/>
    <w:basedOn w:val="2"/>
    <w:next w:val="1"/>
    <w:semiHidden/>
    <w:unhideWhenUsed/>
    <w:qFormat/>
    <w:uiPriority w:val="39"/>
    <w:pPr>
      <w:spacing w:before="480" w:after="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58">
    <w:name w:val="font11"/>
    <w:basedOn w:val="18"/>
    <w:qFormat/>
    <w:uiPriority w:val="0"/>
    <w:rPr>
      <w:rFonts w:hint="default" w:ascii="Times New Roman" w:hAnsi="Times New Roman" w:cs="Times New Roman"/>
      <w:color w:val="000000"/>
      <w:sz w:val="20"/>
      <w:szCs w:val="20"/>
      <w:u w:val="none"/>
    </w:rPr>
  </w:style>
  <w:style w:type="character" w:customStyle="1" w:styleId="59">
    <w:name w:val="font41"/>
    <w:basedOn w:val="18"/>
    <w:qFormat/>
    <w:uiPriority w:val="0"/>
    <w:rPr>
      <w:rFonts w:hint="eastAsia" w:ascii="宋体" w:hAnsi="宋体" w:eastAsia="宋体" w:cs="宋体"/>
      <w:color w:val="000000"/>
      <w:sz w:val="20"/>
      <w:szCs w:val="20"/>
      <w:u w:val="none"/>
    </w:rPr>
  </w:style>
  <w:style w:type="paragraph" w:customStyle="1" w:styleId="60">
    <w:name w:val="Table Text"/>
    <w:basedOn w:val="1"/>
    <w:semiHidden/>
    <w:qFormat/>
    <w:uiPriority w:val="0"/>
    <w:rPr>
      <w:rFonts w:ascii="微软雅黑" w:hAnsi="微软雅黑" w:eastAsia="微软雅黑" w:cs="微软雅黑"/>
      <w:sz w:val="16"/>
      <w:szCs w:val="16"/>
      <w:lang w:val="en-US" w:eastAsia="en-US" w:bidi="ar-SA"/>
    </w:rPr>
  </w:style>
  <w:style w:type="table" w:customStyle="1" w:styleId="61">
    <w:name w:val="Table Normal"/>
    <w:semiHidden/>
    <w:unhideWhenUsed/>
    <w:qFormat/>
    <w:uiPriority w:val="0"/>
    <w:tblPr>
      <w:tblCellMar>
        <w:top w:w="0" w:type="dxa"/>
        <w:left w:w="0" w:type="dxa"/>
        <w:bottom w:w="0" w:type="dxa"/>
        <w:right w:w="0" w:type="dxa"/>
      </w:tblCellMar>
    </w:tblPr>
  </w:style>
  <w:style w:type="character" w:customStyle="1" w:styleId="62">
    <w:name w:val="font21"/>
    <w:basedOn w:val="18"/>
    <w:qFormat/>
    <w:uiPriority w:val="0"/>
    <w:rPr>
      <w:rFonts w:hint="eastAsia" w:ascii="宋体" w:hAnsi="宋体" w:eastAsia="宋体" w:cs="宋体"/>
      <w:color w:val="000000"/>
      <w:sz w:val="22"/>
      <w:szCs w:val="22"/>
      <w:u w:val="none"/>
    </w:rPr>
  </w:style>
  <w:style w:type="character" w:customStyle="1" w:styleId="63">
    <w:name w:val="font71"/>
    <w:basedOn w:val="18"/>
    <w:qFormat/>
    <w:uiPriority w:val="0"/>
    <w:rPr>
      <w:rFonts w:ascii="Arial" w:hAnsi="Arial" w:cs="Arial"/>
      <w:color w:val="0000FF"/>
      <w:sz w:val="22"/>
      <w:szCs w:val="22"/>
      <w:u w:val="none"/>
    </w:rPr>
  </w:style>
  <w:style w:type="character" w:customStyle="1" w:styleId="64">
    <w:name w:val="font51"/>
    <w:basedOn w:val="18"/>
    <w:qFormat/>
    <w:uiPriority w:val="0"/>
    <w:rPr>
      <w:rFonts w:hint="eastAsia" w:ascii="宋体" w:hAnsi="宋体" w:eastAsia="宋体" w:cs="宋体"/>
      <w:color w:val="0000FF"/>
      <w:sz w:val="22"/>
      <w:szCs w:val="22"/>
      <w:u w:val="none"/>
    </w:rPr>
  </w:style>
  <w:style w:type="character" w:customStyle="1" w:styleId="65">
    <w:name w:val="font31"/>
    <w:basedOn w:val="18"/>
    <w:qFormat/>
    <w:uiPriority w:val="0"/>
    <w:rPr>
      <w:rFonts w:hint="default" w:ascii="Times New Roman" w:hAnsi="Times New Roman" w:cs="Times New Roman"/>
      <w:color w:val="000000"/>
      <w:sz w:val="22"/>
      <w:szCs w:val="22"/>
      <w:u w:val="none"/>
    </w:rPr>
  </w:style>
  <w:style w:type="character" w:customStyle="1" w:styleId="66">
    <w:name w:val="font101"/>
    <w:basedOn w:val="18"/>
    <w:qFormat/>
    <w:uiPriority w:val="0"/>
    <w:rPr>
      <w:rFonts w:hint="default" w:ascii="Times New Roman" w:hAnsi="Times New Roman" w:cs="Times New Roman"/>
      <w:color w:val="000000"/>
      <w:sz w:val="22"/>
      <w:szCs w:val="22"/>
      <w:u w:val="none"/>
    </w:rPr>
  </w:style>
  <w:style w:type="character" w:customStyle="1" w:styleId="67">
    <w:name w:val="font91"/>
    <w:basedOn w:val="18"/>
    <w:qFormat/>
    <w:uiPriority w:val="0"/>
    <w:rPr>
      <w:rFonts w:hint="eastAsia" w:ascii="宋体" w:hAnsi="宋体" w:eastAsia="宋体" w:cs="宋体"/>
      <w:color w:val="000000"/>
      <w:sz w:val="22"/>
      <w:szCs w:val="22"/>
      <w:u w:val="none"/>
    </w:rPr>
  </w:style>
  <w:style w:type="character" w:customStyle="1" w:styleId="68">
    <w:name w:val="font81"/>
    <w:basedOn w:val="1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14884</Words>
  <Characters>16724</Characters>
  <Lines>163</Lines>
  <Paragraphs>45</Paragraphs>
  <TotalTime>6</TotalTime>
  <ScaleCrop>false</ScaleCrop>
  <LinksUpToDate>false</LinksUpToDate>
  <CharactersWithSpaces>17242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2021-03-04T02:56:00Z</dcterms:created>
  <dc:creator>JIAN</dc:creator>
  <cp:lastModifiedBy>Administrator</cp:lastModifiedBy>
  <cp:lastPrinted>2025-04-10T07:40:00Z</cp:lastPrinted>
  <dcterms:modified xsi:type="dcterms:W3CDTF">2025-05-13T02:07:46Z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775DE5D9CBF56461F1B71D6841E49E3B_43</vt:lpwstr>
  </property>
</Properties>
</file>