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333333"/>
          <w:sz w:val="44"/>
          <w:szCs w:val="44"/>
          <w:lang w:val="en-US" w:eastAsia="zh-CN"/>
        </w:rPr>
      </w:pPr>
      <w:r>
        <w:rPr>
          <w:rFonts w:hint="eastAsia" w:ascii="方正小标宋简体" w:hAnsi="方正小标宋简体" w:eastAsia="方正小标宋简体" w:cs="方正小标宋简体"/>
          <w:b w:val="0"/>
          <w:bCs w:val="0"/>
          <w:color w:val="333333"/>
          <w:sz w:val="44"/>
          <w:szCs w:val="44"/>
          <w:lang w:val="en-US" w:eastAsia="zh-CN"/>
        </w:rPr>
        <w:t>武汉市武昌区自然资源和城乡建设局</w:t>
      </w:r>
    </w:p>
    <w:p>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lang w:val="en-US" w:eastAsia="zh-CN"/>
        </w:rPr>
        <w:t>2025</w:t>
      </w:r>
      <w:r>
        <w:rPr>
          <w:rFonts w:hint="eastAsia" w:ascii="方正小标宋简体" w:hAnsi="方正小标宋简体" w:eastAsia="方正小标宋简体" w:cs="方正小标宋简体"/>
          <w:b w:val="0"/>
          <w:bCs w:val="0"/>
          <w:color w:val="333333"/>
          <w:sz w:val="44"/>
          <w:szCs w:val="44"/>
        </w:rPr>
        <w:t>年度政府信息公开工作报告</w:t>
      </w:r>
    </w:p>
    <w:p>
      <w:pPr>
        <w:pStyle w:val="2"/>
        <w:widowControl/>
        <w:spacing w:line="360" w:lineRule="auto"/>
        <w:jc w:val="both"/>
        <w:rPr>
          <w:rFonts w:ascii="仿宋" w:hAnsi="仿宋" w:eastAsia="仿宋" w:cs="仿宋"/>
          <w:color w:val="0000FF"/>
          <w:sz w:val="32"/>
          <w:szCs w:val="32"/>
        </w:rPr>
      </w:pPr>
    </w:p>
    <w:p>
      <w:pPr>
        <w:pStyle w:val="2"/>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黑体" w:hAnsi="黑体" w:eastAsia="黑体" w:cs="黑体"/>
          <w:sz w:val="32"/>
          <w:szCs w:val="32"/>
        </w:rPr>
      </w:pPr>
      <w:r>
        <w:rPr>
          <w:rFonts w:hint="eastAsia" w:ascii="黑体" w:hAnsi="黑体" w:eastAsia="黑体" w:cs="黑体"/>
          <w:color w:val="333333"/>
          <w:sz w:val="32"/>
          <w:szCs w:val="32"/>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34" w:right="0" w:firstLine="0"/>
        <w:jc w:val="both"/>
        <w:textAlignment w:val="auto"/>
        <w:rPr>
          <w:rFonts w:hint="eastAsia" w:ascii="楷体_GB2312" w:hAnsi="楷体_GB2312" w:eastAsia="楷体_GB2312" w:cs="楷体_GB2312"/>
          <w:i w:val="0"/>
          <w:iCs w:val="0"/>
          <w:caps w:val="0"/>
          <w:color w:val="333333"/>
          <w:spacing w:val="0"/>
          <w:sz w:val="27"/>
          <w:szCs w:val="27"/>
        </w:rPr>
      </w:pPr>
      <w:r>
        <w:rPr>
          <w:rStyle w:val="5"/>
          <w:rFonts w:hint="eastAsia" w:ascii="楷体_GB2312" w:hAnsi="楷体_GB2312" w:eastAsia="楷体_GB2312" w:cs="楷体_GB2312"/>
          <w:b w:val="0"/>
          <w:bCs w:val="0"/>
          <w:i w:val="0"/>
          <w:iCs w:val="0"/>
          <w:caps w:val="0"/>
          <w:color w:val="333333"/>
          <w:spacing w:val="0"/>
          <w:sz w:val="32"/>
          <w:szCs w:val="32"/>
          <w:shd w:val="clear" w:color="auto" w:fill="FFFFFF"/>
        </w:rPr>
        <w:t>（一）总体概述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shd w:val="clear" w:color="auto" w:fill="FFFFFF"/>
        </w:rPr>
        <w:t>202</w:t>
      </w:r>
      <w:r>
        <w:rPr>
          <w:rFonts w:hint="eastAsia" w:ascii="仿宋_GB2312" w:hAnsi="微软雅黑" w:eastAsia="仿宋_GB2312" w:cs="仿宋_GB2312"/>
          <w:i w:val="0"/>
          <w:iCs w:val="0"/>
          <w:caps w:val="0"/>
          <w:color w:val="333333"/>
          <w:spacing w:val="0"/>
          <w:sz w:val="32"/>
          <w:szCs w:val="32"/>
          <w:shd w:val="clear" w:color="auto" w:fill="FFFFFF"/>
          <w:lang w:val="en-US" w:eastAsia="zh-CN"/>
        </w:rPr>
        <w:t>5</w:t>
      </w:r>
      <w:r>
        <w:rPr>
          <w:rFonts w:hint="eastAsia" w:ascii="仿宋_GB2312" w:hAnsi="宋体" w:eastAsia="仿宋_GB2312" w:cs="仿宋_GB2312"/>
          <w:i w:val="0"/>
          <w:iCs w:val="0"/>
          <w:caps w:val="0"/>
          <w:color w:val="333333"/>
          <w:spacing w:val="0"/>
          <w:sz w:val="32"/>
          <w:szCs w:val="32"/>
          <w:shd w:val="clear" w:color="auto" w:fill="FFFFFF"/>
        </w:rPr>
        <w:t>年，武汉市</w:t>
      </w:r>
      <w:r>
        <w:rPr>
          <w:rFonts w:hint="eastAsia" w:ascii="仿宋_GB2312" w:hAnsi="宋体" w:eastAsia="仿宋_GB2312" w:cs="仿宋_GB2312"/>
          <w:i w:val="0"/>
          <w:iCs w:val="0"/>
          <w:caps w:val="0"/>
          <w:color w:val="333333"/>
          <w:spacing w:val="0"/>
          <w:sz w:val="32"/>
          <w:szCs w:val="32"/>
          <w:shd w:val="clear" w:color="auto" w:fill="FFFFFF"/>
          <w:lang w:val="en-US" w:eastAsia="zh-CN"/>
        </w:rPr>
        <w:t>武昌区</w:t>
      </w:r>
      <w:r>
        <w:rPr>
          <w:rFonts w:hint="eastAsia" w:ascii="仿宋_GB2312" w:hAnsi="宋体" w:eastAsia="仿宋_GB2312" w:cs="仿宋_GB2312"/>
          <w:i w:val="0"/>
          <w:iCs w:val="0"/>
          <w:caps w:val="0"/>
          <w:color w:val="333333"/>
          <w:spacing w:val="0"/>
          <w:sz w:val="32"/>
          <w:szCs w:val="32"/>
          <w:shd w:val="clear" w:color="auto" w:fill="FFFFFF"/>
        </w:rPr>
        <w:t>自然资源和</w:t>
      </w:r>
      <w:r>
        <w:rPr>
          <w:rFonts w:hint="eastAsia" w:ascii="仿宋_GB2312" w:hAnsi="宋体" w:eastAsia="仿宋_GB2312" w:cs="仿宋_GB2312"/>
          <w:i w:val="0"/>
          <w:iCs w:val="0"/>
          <w:caps w:val="0"/>
          <w:color w:val="333333"/>
          <w:spacing w:val="0"/>
          <w:sz w:val="32"/>
          <w:szCs w:val="32"/>
          <w:shd w:val="clear" w:color="auto" w:fill="FFFFFF"/>
          <w:lang w:val="en-US" w:eastAsia="zh-CN"/>
        </w:rPr>
        <w:t>城乡建设</w:t>
      </w:r>
      <w:r>
        <w:rPr>
          <w:rFonts w:hint="eastAsia" w:ascii="仿宋_GB2312" w:hAnsi="宋体" w:eastAsia="仿宋_GB2312" w:cs="仿宋_GB2312"/>
          <w:i w:val="0"/>
          <w:iCs w:val="0"/>
          <w:caps w:val="0"/>
          <w:color w:val="333333"/>
          <w:spacing w:val="0"/>
          <w:sz w:val="32"/>
          <w:szCs w:val="32"/>
          <w:shd w:val="clear" w:color="auto" w:fill="FFFFFF"/>
        </w:rPr>
        <w:t>局认真贯彻执行《中华人民共和国政府信息公开条例》和《武汉市政府信息公开暂行规定》的各项要求，细化责任分工，规范开展政府信息公开工作。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34" w:right="0" w:firstLine="0"/>
        <w:jc w:val="both"/>
        <w:textAlignment w:val="auto"/>
        <w:rPr>
          <w:rStyle w:val="5"/>
          <w:rFonts w:hint="eastAsia" w:ascii="楷体_GB2312" w:hAnsi="楷体_GB2312" w:eastAsia="楷体_GB2312" w:cs="楷体_GB2312"/>
          <w:b w:val="0"/>
          <w:bCs w:val="0"/>
          <w:i w:val="0"/>
          <w:iCs w:val="0"/>
          <w:caps w:val="0"/>
          <w:color w:val="333333"/>
          <w:spacing w:val="0"/>
          <w:sz w:val="32"/>
          <w:szCs w:val="32"/>
          <w:shd w:val="clear" w:color="auto" w:fill="FFFFFF"/>
        </w:rPr>
      </w:pPr>
      <w:r>
        <w:rPr>
          <w:rStyle w:val="5"/>
          <w:rFonts w:hint="eastAsia" w:ascii="楷体_GB2312" w:hAnsi="楷体_GB2312" w:eastAsia="楷体_GB2312" w:cs="楷体_GB2312"/>
          <w:b w:val="0"/>
          <w:bCs w:val="0"/>
          <w:i w:val="0"/>
          <w:iCs w:val="0"/>
          <w:caps w:val="0"/>
          <w:color w:val="333333"/>
          <w:spacing w:val="0"/>
          <w:sz w:val="32"/>
          <w:szCs w:val="32"/>
          <w:shd w:val="clear" w:color="auto" w:fill="FFFFFF"/>
        </w:rPr>
        <w:t>（二）政府信息主动公开情况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eastAsia" w:ascii="微软雅黑" w:hAnsi="微软雅黑" w:eastAsia="微软雅黑" w:cs="微软雅黑"/>
          <w:i w:val="0"/>
          <w:iCs w:val="0"/>
          <w:caps w:val="0"/>
          <w:color w:val="333333"/>
          <w:spacing w:val="0"/>
          <w:sz w:val="27"/>
          <w:szCs w:val="27"/>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我</w:t>
      </w:r>
      <w:r>
        <w:rPr>
          <w:rFonts w:hint="eastAsia" w:ascii="仿宋" w:hAnsi="仿宋" w:eastAsia="仿宋"/>
          <w:sz w:val="32"/>
          <w:szCs w:val="32"/>
        </w:rPr>
        <w:t>局高度重视，认真抓好网站内容的更新工作，</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年1月</w:t>
      </w:r>
      <w:r>
        <w:rPr>
          <w:rFonts w:hint="eastAsia" w:ascii="仿宋" w:hAnsi="仿宋" w:eastAsia="仿宋"/>
          <w:sz w:val="32"/>
          <w:szCs w:val="32"/>
          <w:highlight w:val="none"/>
          <w:lang w:val="en-US" w:eastAsia="zh-CN"/>
        </w:rPr>
        <w:t>10</w:t>
      </w:r>
      <w:r>
        <w:rPr>
          <w:rFonts w:hint="eastAsia" w:ascii="仿宋" w:hAnsi="仿宋" w:eastAsia="仿宋"/>
          <w:sz w:val="32"/>
          <w:szCs w:val="32"/>
          <w:highlight w:val="none"/>
        </w:rPr>
        <w:t>日发布202</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年本单位政府信息公开工作年度报告；发布政务公开信息</w:t>
      </w:r>
      <w:r>
        <w:rPr>
          <w:rFonts w:hint="eastAsia" w:ascii="仿宋" w:hAnsi="仿宋" w:eastAsia="仿宋"/>
          <w:sz w:val="32"/>
          <w:szCs w:val="32"/>
          <w:highlight w:val="none"/>
          <w:lang w:val="en-US" w:eastAsia="zh-CN"/>
        </w:rPr>
        <w:t>57</w:t>
      </w:r>
      <w:r>
        <w:rPr>
          <w:rFonts w:hint="eastAsia" w:ascii="仿宋" w:hAnsi="仿宋" w:eastAsia="仿宋"/>
          <w:sz w:val="32"/>
          <w:szCs w:val="32"/>
          <w:highlight w:val="none"/>
        </w:rPr>
        <w:t>条，</w:t>
      </w:r>
      <w:r>
        <w:rPr>
          <w:rFonts w:hint="eastAsia" w:ascii="仿宋" w:hAnsi="仿宋" w:eastAsia="仿宋"/>
          <w:sz w:val="32"/>
          <w:szCs w:val="32"/>
        </w:rPr>
        <w:t>在</w:t>
      </w:r>
      <w:r>
        <w:rPr>
          <w:rFonts w:hint="eastAsia" w:ascii="仿宋" w:hAnsi="仿宋" w:eastAsia="仿宋"/>
          <w:sz w:val="32"/>
          <w:szCs w:val="32"/>
          <w:lang w:val="en-US" w:eastAsia="zh-CN"/>
        </w:rPr>
        <w:t>各</w:t>
      </w:r>
      <w:r>
        <w:rPr>
          <w:rFonts w:hint="eastAsia" w:ascii="仿宋" w:hAnsi="仿宋" w:eastAsia="仿宋"/>
          <w:sz w:val="32"/>
          <w:szCs w:val="32"/>
        </w:rPr>
        <w:t>级媒体发布新闻</w:t>
      </w:r>
      <w:r>
        <w:rPr>
          <w:rFonts w:hint="eastAsia" w:ascii="仿宋" w:hAnsi="仿宋" w:eastAsia="仿宋"/>
          <w:sz w:val="32"/>
          <w:szCs w:val="32"/>
          <w:lang w:val="en-US" w:eastAsia="zh-CN"/>
        </w:rPr>
        <w:t>20</w:t>
      </w:r>
      <w:r>
        <w:rPr>
          <w:rFonts w:hint="eastAsia" w:ascii="仿宋" w:hAnsi="仿宋" w:eastAsia="仿宋"/>
          <w:sz w:val="32"/>
          <w:szCs w:val="32"/>
        </w:rPr>
        <w:t>余篇，充分展现</w:t>
      </w:r>
      <w:r>
        <w:rPr>
          <w:rFonts w:hint="eastAsia" w:ascii="仿宋" w:hAnsi="仿宋" w:eastAsia="仿宋"/>
          <w:sz w:val="32"/>
          <w:szCs w:val="32"/>
          <w:lang w:eastAsia="zh-CN"/>
        </w:rPr>
        <w:t>我</w:t>
      </w:r>
      <w:r>
        <w:rPr>
          <w:rFonts w:hint="eastAsia" w:ascii="仿宋" w:hAnsi="仿宋" w:eastAsia="仿宋"/>
          <w:sz w:val="32"/>
          <w:szCs w:val="32"/>
        </w:rPr>
        <w:t>局良好风貌</w:t>
      </w:r>
      <w:r>
        <w:rPr>
          <w:rFonts w:hint="eastAsia" w:ascii="仿宋" w:hAnsi="仿宋" w:eastAsia="仿宋"/>
          <w:sz w:val="32"/>
          <w:szCs w:val="32"/>
          <w:lang w:eastAsia="zh-CN"/>
        </w:rPr>
        <w:t>；</w:t>
      </w:r>
      <w:r>
        <w:rPr>
          <w:rFonts w:ascii="仿宋_GB2312" w:hAnsi="宋体" w:eastAsia="仿宋_GB2312" w:cs="仿宋_GB2312"/>
          <w:i w:val="0"/>
          <w:iCs w:val="0"/>
          <w:caps w:val="0"/>
          <w:color w:val="333333"/>
          <w:spacing w:val="0"/>
          <w:sz w:val="32"/>
          <w:szCs w:val="32"/>
          <w:shd w:val="clear" w:color="auto" w:fill="FFFFFF"/>
        </w:rPr>
        <w:t>认真做好建议提案办理的公开，</w:t>
      </w:r>
      <w:r>
        <w:rPr>
          <w:rFonts w:hint="eastAsia" w:ascii="仿宋" w:hAnsi="仿宋" w:eastAsia="仿宋" w:cs="仿宋"/>
          <w:sz w:val="32"/>
          <w:szCs w:val="32"/>
          <w:highlight w:val="none"/>
          <w:lang w:val="en-US" w:eastAsia="zh-CN"/>
        </w:rPr>
        <w:t>2025年主办区人大议案2件、区政协提案4件</w:t>
      </w:r>
      <w:r>
        <w:rPr>
          <w:rFonts w:hint="eastAsia" w:ascii="仿宋" w:hAnsi="仿宋" w:eastAsia="仿宋" w:cs="仿宋"/>
          <w:sz w:val="32"/>
          <w:szCs w:val="32"/>
          <w:highlight w:val="none"/>
          <w:lang w:val="en-US" w:eastAsia="zh-CN"/>
        </w:rPr>
        <w:t>，已及时回复并在区政府网站公开</w:t>
      </w:r>
      <w:r>
        <w:rPr>
          <w:rFonts w:hint="eastAsia" w:ascii="仿宋" w:hAnsi="仿宋" w:eastAsia="仿宋"/>
          <w:sz w:val="32"/>
          <w:szCs w:val="32"/>
          <w:highlight w:val="none"/>
        </w:rPr>
        <w:t>。除法律、法规规定不予公开及涉密等不予公开</w:t>
      </w:r>
      <w:r>
        <w:rPr>
          <w:rFonts w:hint="eastAsia" w:ascii="仿宋" w:hAnsi="仿宋" w:eastAsia="仿宋"/>
          <w:sz w:val="32"/>
          <w:szCs w:val="32"/>
        </w:rPr>
        <w:t>的政府信息外，均能规范、及时、准确和完整发布政府信息。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34" w:right="0" w:firstLine="0"/>
        <w:jc w:val="both"/>
        <w:textAlignment w:val="auto"/>
        <w:rPr>
          <w:rStyle w:val="5"/>
          <w:rFonts w:hint="eastAsia" w:ascii="楷体_GB2312" w:hAnsi="楷体_GB2312" w:eastAsia="楷体_GB2312" w:cs="楷体_GB2312"/>
          <w:b w:val="0"/>
          <w:bCs w:val="0"/>
          <w:i w:val="0"/>
          <w:iCs w:val="0"/>
          <w:caps w:val="0"/>
          <w:color w:val="333333"/>
          <w:spacing w:val="0"/>
          <w:sz w:val="32"/>
          <w:szCs w:val="32"/>
          <w:shd w:val="clear" w:color="auto" w:fill="FFFFFF"/>
        </w:rPr>
      </w:pPr>
      <w:r>
        <w:rPr>
          <w:rStyle w:val="5"/>
          <w:rFonts w:hint="eastAsia" w:ascii="楷体_GB2312" w:hAnsi="楷体_GB2312" w:eastAsia="楷体_GB2312" w:cs="楷体_GB2312"/>
          <w:b w:val="0"/>
          <w:bCs w:val="0"/>
          <w:i w:val="0"/>
          <w:iCs w:val="0"/>
          <w:caps w:val="0"/>
          <w:color w:val="333333"/>
          <w:spacing w:val="0"/>
          <w:sz w:val="32"/>
          <w:szCs w:val="32"/>
          <w:shd w:val="clear" w:color="auto" w:fill="FFFFFF"/>
        </w:rPr>
        <w:t>（三）政府信息依申请公开情况</w:t>
      </w:r>
    </w:p>
    <w:p>
      <w:pPr>
        <w:pStyle w:val="2"/>
        <w:spacing w:line="360" w:lineRule="auto"/>
        <w:ind w:firstLine="640" w:firstLineChars="200"/>
        <w:jc w:val="both"/>
        <w:rPr>
          <w:rFonts w:hint="eastAsia" w:ascii="微软雅黑" w:hAnsi="微软雅黑" w:eastAsia="微软雅黑" w:cs="微软雅黑"/>
          <w:i w:val="0"/>
          <w:iCs w:val="0"/>
          <w:caps w:val="0"/>
          <w:color w:val="333333"/>
          <w:spacing w:val="0"/>
          <w:sz w:val="27"/>
          <w:szCs w:val="27"/>
          <w:highlight w:val="none"/>
        </w:rPr>
      </w:pPr>
      <w:r>
        <w:rPr>
          <w:rFonts w:hint="eastAsia" w:ascii="仿宋" w:hAnsi="仿宋" w:eastAsia="仿宋" w:cs="仿宋"/>
          <w:sz w:val="32"/>
          <w:szCs w:val="32"/>
          <w:highlight w:val="none"/>
        </w:rPr>
        <w:t>办公室作为局政务公开工作责任科室，认真开展《中华人民共和国政府信息公开条例》</w:t>
      </w:r>
      <w:r>
        <w:rPr>
          <w:rFonts w:hint="eastAsia" w:ascii="仿宋_GB2312" w:hAnsi="宋体" w:eastAsia="仿宋_GB2312" w:cs="仿宋_GB2312"/>
          <w:i w:val="0"/>
          <w:iCs w:val="0"/>
          <w:caps w:val="0"/>
          <w:color w:val="333333"/>
          <w:spacing w:val="0"/>
          <w:sz w:val="32"/>
          <w:szCs w:val="32"/>
          <w:highlight w:val="none"/>
          <w:shd w:val="clear" w:color="auto" w:fill="FFFFFF"/>
        </w:rPr>
        <w:t>和《武汉市政府信息公开暂行规定》</w:t>
      </w:r>
      <w:r>
        <w:rPr>
          <w:rFonts w:hint="eastAsia" w:ascii="仿宋" w:hAnsi="仿宋" w:eastAsia="仿宋" w:cs="仿宋"/>
          <w:sz w:val="32"/>
          <w:szCs w:val="32"/>
          <w:highlight w:val="none"/>
        </w:rPr>
        <w:t>的学习和培训工作，指定人员负责具体落实政务公开工作，对发布内容进行审核及保密审查，及时在局门户网站和武昌区政府网站信息公开版块向社会公布相关政务信息。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34" w:right="0" w:firstLine="0"/>
        <w:jc w:val="both"/>
        <w:textAlignment w:val="auto"/>
        <w:rPr>
          <w:rStyle w:val="5"/>
          <w:rFonts w:hint="eastAsia" w:ascii="楷体_GB2312" w:hAnsi="楷体_GB2312" w:eastAsia="楷体_GB2312" w:cs="楷体_GB2312"/>
          <w:b w:val="0"/>
          <w:bCs w:val="0"/>
          <w:i w:val="0"/>
          <w:iCs w:val="0"/>
          <w:caps w:val="0"/>
          <w:color w:val="333333"/>
          <w:spacing w:val="0"/>
          <w:sz w:val="32"/>
          <w:szCs w:val="32"/>
          <w:shd w:val="clear" w:color="auto" w:fill="FFFFFF"/>
        </w:rPr>
      </w:pPr>
      <w:r>
        <w:rPr>
          <w:rStyle w:val="5"/>
          <w:rFonts w:hint="eastAsia" w:ascii="楷体_GB2312" w:hAnsi="楷体_GB2312" w:eastAsia="楷体_GB2312" w:cs="楷体_GB2312"/>
          <w:b w:val="0"/>
          <w:bCs w:val="0"/>
          <w:i w:val="0"/>
          <w:iCs w:val="0"/>
          <w:caps w:val="0"/>
          <w:color w:val="333333"/>
          <w:spacing w:val="0"/>
          <w:sz w:val="32"/>
          <w:szCs w:val="32"/>
          <w:shd w:val="clear" w:color="auto" w:fill="FFFFFF"/>
        </w:rPr>
        <w:t>（四）政府信息管理情况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eastAsia" w:ascii="微软雅黑" w:hAnsi="微软雅黑" w:eastAsia="微软雅黑" w:cs="微软雅黑"/>
          <w:i w:val="0"/>
          <w:iCs w:val="0"/>
          <w:caps w:val="0"/>
          <w:color w:val="333333"/>
          <w:spacing w:val="0"/>
          <w:sz w:val="27"/>
          <w:szCs w:val="27"/>
        </w:rPr>
      </w:pPr>
      <w:r>
        <w:rPr>
          <w:rFonts w:hint="eastAsia" w:ascii="仿宋_GB2312" w:hAnsi="宋体" w:eastAsia="仿宋_GB2312" w:cs="仿宋_GB2312"/>
          <w:i w:val="0"/>
          <w:iCs w:val="0"/>
          <w:caps w:val="0"/>
          <w:color w:val="333333"/>
          <w:spacing w:val="0"/>
          <w:sz w:val="32"/>
          <w:szCs w:val="32"/>
          <w:shd w:val="clear" w:color="auto" w:fill="FFFFFF"/>
        </w:rPr>
        <w:t>加强政务公开制度建设，严格落实保守国家秘密法、信息公开条例以及其他法律法规和国家有关规定，确保公开信息依法、及时、全面、准确和合理。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34" w:right="0" w:firstLine="0"/>
        <w:jc w:val="both"/>
        <w:textAlignment w:val="auto"/>
        <w:rPr>
          <w:rStyle w:val="5"/>
          <w:rFonts w:hint="eastAsia" w:ascii="楷体_GB2312" w:hAnsi="楷体_GB2312" w:eastAsia="楷体_GB2312" w:cs="楷体_GB2312"/>
          <w:b w:val="0"/>
          <w:bCs w:val="0"/>
          <w:i w:val="0"/>
          <w:iCs w:val="0"/>
          <w:caps w:val="0"/>
          <w:color w:val="333333"/>
          <w:spacing w:val="0"/>
          <w:sz w:val="32"/>
          <w:szCs w:val="32"/>
          <w:shd w:val="clear" w:color="auto" w:fill="FFFFFF"/>
        </w:rPr>
      </w:pPr>
      <w:r>
        <w:rPr>
          <w:rStyle w:val="5"/>
          <w:rFonts w:hint="eastAsia" w:ascii="楷体_GB2312" w:hAnsi="楷体_GB2312" w:eastAsia="楷体_GB2312" w:cs="楷体_GB2312"/>
          <w:b w:val="0"/>
          <w:bCs w:val="0"/>
          <w:i w:val="0"/>
          <w:iCs w:val="0"/>
          <w:caps w:val="0"/>
          <w:color w:val="333333"/>
          <w:spacing w:val="0"/>
          <w:sz w:val="32"/>
          <w:szCs w:val="32"/>
          <w:shd w:val="clear" w:color="auto" w:fill="FFFFFF"/>
        </w:rPr>
        <w:t>（五）政府信息公开平台建设情况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eastAsia" w:ascii="微软雅黑" w:hAnsi="微软雅黑" w:eastAsia="微软雅黑" w:cs="微软雅黑"/>
          <w:i w:val="0"/>
          <w:iCs w:val="0"/>
          <w:caps w:val="0"/>
          <w:color w:val="333333"/>
          <w:spacing w:val="0"/>
          <w:sz w:val="27"/>
          <w:szCs w:val="27"/>
        </w:rPr>
      </w:pPr>
      <w:r>
        <w:rPr>
          <w:rFonts w:hint="eastAsia" w:ascii="仿宋_GB2312" w:hAnsi="宋体" w:eastAsia="仿宋_GB2312" w:cs="仿宋_GB2312"/>
          <w:i w:val="0"/>
          <w:iCs w:val="0"/>
          <w:caps w:val="0"/>
          <w:color w:val="333333"/>
          <w:spacing w:val="0"/>
          <w:sz w:val="32"/>
          <w:szCs w:val="32"/>
          <w:shd w:val="clear" w:color="auto" w:fill="FFFFFF"/>
        </w:rPr>
        <w:t>积极做好政府网站管理工作，规范网站栏目设置，及时更新</w:t>
      </w:r>
      <w:r>
        <w:rPr>
          <w:rFonts w:hint="eastAsia" w:ascii="仿宋" w:hAnsi="仿宋" w:eastAsia="仿宋"/>
          <w:sz w:val="32"/>
          <w:szCs w:val="32"/>
        </w:rPr>
        <w:t>财政预决算</w:t>
      </w:r>
      <w:r>
        <w:rPr>
          <w:rFonts w:hint="eastAsia" w:ascii="仿宋" w:hAnsi="仿宋" w:eastAsia="仿宋"/>
          <w:sz w:val="32"/>
          <w:szCs w:val="32"/>
          <w:lang w:eastAsia="zh-CN"/>
        </w:rPr>
        <w:t>、</w:t>
      </w:r>
      <w:r>
        <w:rPr>
          <w:rFonts w:hint="eastAsia" w:ascii="仿宋" w:hAnsi="仿宋" w:eastAsia="仿宋"/>
          <w:sz w:val="32"/>
          <w:szCs w:val="32"/>
          <w:lang w:val="en-US" w:eastAsia="zh-CN"/>
        </w:rPr>
        <w:t>建设项目批前公示、规划管理、土地管理等</w:t>
      </w:r>
      <w:r>
        <w:rPr>
          <w:rFonts w:hint="eastAsia" w:ascii="仿宋_GB2312" w:hAnsi="宋体" w:eastAsia="仿宋_GB2312" w:cs="仿宋_GB2312"/>
          <w:i w:val="0"/>
          <w:iCs w:val="0"/>
          <w:caps w:val="0"/>
          <w:color w:val="333333"/>
          <w:spacing w:val="0"/>
          <w:sz w:val="32"/>
          <w:szCs w:val="32"/>
          <w:shd w:val="clear" w:color="auto" w:fill="FFFFFF"/>
        </w:rPr>
        <w:t>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34" w:right="0" w:firstLine="0"/>
        <w:jc w:val="both"/>
        <w:textAlignment w:val="auto"/>
        <w:rPr>
          <w:rStyle w:val="5"/>
          <w:rFonts w:hint="eastAsia" w:ascii="楷体_GB2312" w:hAnsi="楷体_GB2312" w:eastAsia="楷体_GB2312" w:cs="楷体_GB2312"/>
          <w:b w:val="0"/>
          <w:bCs w:val="0"/>
          <w:i w:val="0"/>
          <w:iCs w:val="0"/>
          <w:caps w:val="0"/>
          <w:color w:val="333333"/>
          <w:spacing w:val="0"/>
          <w:sz w:val="32"/>
          <w:szCs w:val="32"/>
          <w:shd w:val="clear" w:color="auto" w:fill="FFFFFF"/>
        </w:rPr>
      </w:pPr>
      <w:r>
        <w:rPr>
          <w:rStyle w:val="5"/>
          <w:rFonts w:hint="eastAsia" w:ascii="楷体_GB2312" w:hAnsi="楷体_GB2312" w:eastAsia="楷体_GB2312" w:cs="楷体_GB2312"/>
          <w:b w:val="0"/>
          <w:bCs w:val="0"/>
          <w:i w:val="0"/>
          <w:iCs w:val="0"/>
          <w:caps w:val="0"/>
          <w:color w:val="333333"/>
          <w:spacing w:val="0"/>
          <w:sz w:val="32"/>
          <w:szCs w:val="32"/>
          <w:shd w:val="clear" w:color="auto" w:fill="FFFFFF"/>
        </w:rPr>
        <w:t>（六）监督保障情况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4"/>
        <w:jc w:val="both"/>
        <w:textAlignment w:val="auto"/>
        <w:rPr>
          <w:rFonts w:hint="eastAsia" w:ascii="微软雅黑" w:hAnsi="微软雅黑" w:eastAsia="微软雅黑" w:cs="微软雅黑"/>
          <w:i w:val="0"/>
          <w:iCs w:val="0"/>
          <w:caps w:val="0"/>
          <w:color w:val="333333"/>
          <w:spacing w:val="0"/>
          <w:sz w:val="27"/>
          <w:szCs w:val="27"/>
        </w:rPr>
      </w:pPr>
      <w:r>
        <w:rPr>
          <w:rFonts w:hint="eastAsia" w:ascii="仿宋_GB2312" w:hAnsi="宋体" w:eastAsia="仿宋_GB2312" w:cs="仿宋_GB2312"/>
          <w:i w:val="0"/>
          <w:iCs w:val="0"/>
          <w:caps w:val="0"/>
          <w:color w:val="333333"/>
          <w:spacing w:val="0"/>
          <w:sz w:val="32"/>
          <w:szCs w:val="32"/>
          <w:shd w:val="clear" w:color="auto" w:fill="FFFFFF"/>
        </w:rPr>
        <w:t>持续完善政务公开工作机制和流程，加强长效管理。积极参加政务公开工作培训，按照第三方评估问题清单反馈的问题，积极整改，确保落实。</w:t>
      </w:r>
    </w:p>
    <w:p>
      <w:pPr>
        <w:pStyle w:val="2"/>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二、主动公开政府信息情况</w:t>
      </w:r>
    </w:p>
    <w:p>
      <w:pPr>
        <w:pStyle w:val="2"/>
        <w:widowControl/>
        <w:spacing w:line="560" w:lineRule="exact"/>
        <w:ind w:firstLine="640" w:firstLineChars="200"/>
        <w:rPr>
          <w:rFonts w:ascii="仿宋" w:hAnsi="仿宋" w:eastAsia="仿宋"/>
          <w:kern w:val="2"/>
          <w:sz w:val="32"/>
          <w:szCs w:val="32"/>
          <w:highlight w:val="none"/>
        </w:rPr>
      </w:pPr>
      <w:r>
        <w:rPr>
          <w:rFonts w:hint="eastAsia" w:ascii="仿宋" w:hAnsi="仿宋" w:eastAsia="仿宋"/>
          <w:kern w:val="2"/>
          <w:sz w:val="32"/>
          <w:szCs w:val="32"/>
          <w:highlight w:val="none"/>
          <w:lang w:val="en-US" w:eastAsia="zh-CN"/>
        </w:rPr>
        <w:t>2025年我局核发建设项目用地预审与选址意见书、建设用地规划许可证、建设工程规划许可证、</w:t>
      </w:r>
      <w:bookmarkStart w:id="0" w:name="OLE_LINK12"/>
      <w:r>
        <w:rPr>
          <w:rFonts w:hint="eastAsia" w:ascii="仿宋_GB2312" w:eastAsia="仿宋_GB2312"/>
          <w:sz w:val="32"/>
          <w:highlight w:val="none"/>
        </w:rPr>
        <w:t>国有建设用地供应审批</w:t>
      </w:r>
      <w:bookmarkEnd w:id="0"/>
      <w:r>
        <w:rPr>
          <w:rFonts w:hint="eastAsia" w:ascii="仿宋_GB2312" w:eastAsia="仿宋_GB2312"/>
          <w:sz w:val="32"/>
          <w:highlight w:val="none"/>
          <w:lang w:eastAsia="zh-CN"/>
        </w:rPr>
        <w:t>、</w:t>
      </w:r>
      <w:bookmarkStart w:id="1" w:name="OLE_LINK1"/>
      <w:r>
        <w:rPr>
          <w:rFonts w:hint="eastAsia" w:ascii="仿宋_GB2312" w:hAnsi="CESI仿宋-GB2312" w:eastAsia="仿宋_GB2312" w:cs="CESI仿宋-GB2312"/>
          <w:sz w:val="32"/>
          <w:szCs w:val="32"/>
          <w:highlight w:val="none"/>
        </w:rPr>
        <w:t>消防设计审查</w:t>
      </w:r>
      <w:r>
        <w:rPr>
          <w:rFonts w:hint="eastAsia" w:ascii="仿宋_GB2312" w:hAnsi="CESI仿宋-GB2312" w:eastAsia="仿宋_GB2312" w:cs="CESI仿宋-GB2312"/>
          <w:sz w:val="32"/>
          <w:szCs w:val="32"/>
          <w:highlight w:val="none"/>
          <w:lang w:val="en-US" w:eastAsia="zh-CN"/>
        </w:rPr>
        <w:t>和</w:t>
      </w:r>
      <w:r>
        <w:rPr>
          <w:rFonts w:hint="eastAsia" w:ascii="仿宋_GB2312" w:hAnsi="CESI仿宋-GB2312" w:eastAsia="仿宋_GB2312" w:cs="CESI仿宋-GB2312"/>
          <w:sz w:val="32"/>
          <w:szCs w:val="32"/>
          <w:highlight w:val="none"/>
        </w:rPr>
        <w:t>消防验收</w:t>
      </w:r>
      <w:r>
        <w:rPr>
          <w:rFonts w:hint="eastAsia" w:ascii="仿宋" w:hAnsi="仿宋" w:eastAsia="仿宋"/>
          <w:kern w:val="2"/>
          <w:sz w:val="32"/>
          <w:szCs w:val="32"/>
          <w:highlight w:val="none"/>
          <w:lang w:val="en-US" w:eastAsia="zh-CN"/>
        </w:rPr>
        <w:t>等共221项</w:t>
      </w:r>
      <w:bookmarkEnd w:id="1"/>
      <w:r>
        <w:rPr>
          <w:rFonts w:hint="eastAsia" w:ascii="仿宋" w:hAnsi="仿宋" w:eastAsia="仿宋"/>
          <w:kern w:val="2"/>
          <w:sz w:val="32"/>
          <w:szCs w:val="32"/>
          <w:highlight w:val="none"/>
          <w:lang w:val="en-US" w:eastAsia="zh-CN"/>
        </w:rPr>
        <w:t>，实施行政处罚33项</w:t>
      </w:r>
      <w:r>
        <w:rPr>
          <w:rFonts w:hint="eastAsia" w:ascii="仿宋" w:hAnsi="仿宋" w:eastAsia="仿宋"/>
          <w:kern w:val="2"/>
          <w:sz w:val="32"/>
          <w:szCs w:val="32"/>
          <w:highlight w:val="none"/>
        </w:rPr>
        <w:t>。</w:t>
      </w:r>
    </w:p>
    <w:tbl>
      <w:tblPr>
        <w:tblStyle w:val="3"/>
        <w:tblW w:w="8420" w:type="dxa"/>
        <w:jc w:val="center"/>
        <w:tblInd w:w="0" w:type="dxa"/>
        <w:tblLayout w:type="fixed"/>
        <w:tblCellMar>
          <w:top w:w="0" w:type="dxa"/>
          <w:left w:w="0" w:type="dxa"/>
          <w:bottom w:w="0" w:type="dxa"/>
          <w:right w:w="0" w:type="dxa"/>
        </w:tblCellMar>
      </w:tblPr>
      <w:tblGrid>
        <w:gridCol w:w="2105"/>
        <w:gridCol w:w="2105"/>
        <w:gridCol w:w="2105"/>
        <w:gridCol w:w="2105"/>
      </w:tblGrid>
      <w:tr>
        <w:tblPrEx>
          <w:tblLayout w:type="fixed"/>
          <w:tblCellMar>
            <w:top w:w="0" w:type="dxa"/>
            <w:left w:w="0" w:type="dxa"/>
            <w:bottom w:w="0" w:type="dxa"/>
            <w:right w:w="0" w:type="dxa"/>
          </w:tblCellMar>
        </w:tblPrEx>
        <w:trPr>
          <w:trHeight w:val="340" w:hRule="atLeast"/>
          <w:jc w:val="center"/>
        </w:trPr>
        <w:tc>
          <w:tcPr>
            <w:tcW w:w="842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第二十条第（一）项</w:t>
            </w:r>
          </w:p>
        </w:tc>
      </w:tr>
      <w:tr>
        <w:tblPrEx>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信息内容</w:t>
            </w:r>
          </w:p>
        </w:tc>
        <w:tc>
          <w:tcPr>
            <w:tcW w:w="210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本年</w:t>
            </w:r>
            <w:r>
              <w:rPr>
                <w:rFonts w:hint="eastAsia" w:ascii="宋体" w:hAnsi="宋体" w:cs="宋体"/>
                <w:color w:val="333333"/>
                <w:kern w:val="0"/>
                <w:szCs w:val="21"/>
                <w:lang w:bidi="ar"/>
              </w:rPr>
              <w:t>制发件数</w:t>
            </w:r>
          </w:p>
        </w:tc>
        <w:tc>
          <w:tcPr>
            <w:tcW w:w="2105" w:type="dxa"/>
            <w:tcBorders>
              <w:top w:val="single" w:color="auto" w:sz="8" w:space="0"/>
              <w:left w:val="nil"/>
              <w:bottom w:val="single" w:color="auto" w:sz="8" w:space="0"/>
              <w:right w:val="single" w:color="auto" w:sz="4"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本年废止件数</w:t>
            </w:r>
          </w:p>
        </w:tc>
        <w:tc>
          <w:tcPr>
            <w:tcW w:w="2105" w:type="dxa"/>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现行有效件</w:t>
            </w:r>
            <w:r>
              <w:rPr>
                <w:rFonts w:hint="eastAsia" w:ascii="宋体" w:hAnsi="宋体" w:cs="宋体"/>
                <w:color w:val="333333"/>
                <w:kern w:val="0"/>
                <w:szCs w:val="21"/>
                <w:lang w:bidi="ar"/>
              </w:rPr>
              <w:t>数</w:t>
            </w:r>
          </w:p>
        </w:tc>
      </w:tr>
      <w:tr>
        <w:tblPrEx>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30" w:lineRule="atLeast"/>
              <w:jc w:val="left"/>
              <w:rPr>
                <w:szCs w:val="21"/>
              </w:rPr>
            </w:pPr>
            <w:r>
              <w:rPr>
                <w:rFonts w:hint="eastAsia" w:ascii="宋体" w:hAnsi="宋体" w:cs="宋体"/>
                <w:color w:val="000000"/>
                <w:kern w:val="0"/>
                <w:szCs w:val="21"/>
                <w:lang w:bidi="ar"/>
              </w:rPr>
              <w:t>规章</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0</w:t>
            </w:r>
          </w:p>
        </w:tc>
        <w:tc>
          <w:tcPr>
            <w:tcW w:w="2105" w:type="dxa"/>
            <w:tcBorders>
              <w:top w:val="nil"/>
              <w:left w:val="nil"/>
              <w:bottom w:val="single" w:color="auto" w:sz="8" w:space="0"/>
              <w:right w:val="single" w:color="auto" w:sz="4"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0</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widowControl/>
              <w:spacing w:line="30" w:lineRule="atLeast"/>
              <w:jc w:val="center"/>
              <w:rPr>
                <w:szCs w:val="21"/>
              </w:rPr>
            </w:pPr>
            <w:r>
              <w:rPr>
                <w:rFonts w:cs="Calibri"/>
                <w:color w:val="333333"/>
                <w:szCs w:val="21"/>
                <w:lang w:bidi="ar"/>
              </w:rPr>
              <w:t>0</w:t>
            </w:r>
          </w:p>
        </w:tc>
      </w:tr>
      <w:tr>
        <w:tblPrEx>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30" w:lineRule="atLeast"/>
              <w:jc w:val="left"/>
              <w:rPr>
                <w:szCs w:val="21"/>
              </w:rPr>
            </w:pPr>
            <w:r>
              <w:rPr>
                <w:rFonts w:hint="eastAsia" w:ascii="宋体" w:hAnsi="宋体" w:cs="宋体"/>
                <w:color w:val="000000"/>
                <w:kern w:val="0"/>
                <w:szCs w:val="21"/>
                <w:lang w:bidi="ar"/>
              </w:rPr>
              <w:t>行政规范性文件</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0</w:t>
            </w:r>
          </w:p>
        </w:tc>
        <w:tc>
          <w:tcPr>
            <w:tcW w:w="2105" w:type="dxa"/>
            <w:tcBorders>
              <w:top w:val="nil"/>
              <w:left w:val="nil"/>
              <w:bottom w:val="single" w:color="auto" w:sz="8" w:space="0"/>
              <w:right w:val="single" w:color="auto" w:sz="4"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0</w:t>
            </w:r>
          </w:p>
        </w:tc>
        <w:tc>
          <w:tcPr>
            <w:tcW w:w="2105" w:type="dxa"/>
            <w:tcBorders>
              <w:top w:val="nil"/>
              <w:left w:val="nil"/>
              <w:bottom w:val="single" w:color="auto" w:sz="8" w:space="0"/>
              <w:right w:val="single" w:color="auto" w:sz="8" w:space="0"/>
            </w:tcBorders>
            <w:noWrap w:val="0"/>
            <w:tcMar>
              <w:left w:w="57" w:type="dxa"/>
              <w:right w:w="57" w:type="dxa"/>
            </w:tcMar>
            <w:vAlign w:val="center"/>
          </w:tcPr>
          <w:p>
            <w:pPr>
              <w:widowControl/>
              <w:spacing w:line="30" w:lineRule="atLeast"/>
              <w:jc w:val="center"/>
              <w:rPr>
                <w:szCs w:val="21"/>
              </w:rPr>
            </w:pPr>
            <w:r>
              <w:rPr>
                <w:rFonts w:cs="Calibri"/>
                <w:color w:val="333333"/>
                <w:szCs w:val="21"/>
                <w:lang w:bidi="ar"/>
              </w:rPr>
              <w:t>0</w:t>
            </w:r>
          </w:p>
        </w:tc>
      </w:tr>
      <w:tr>
        <w:tblPrEx>
          <w:tblLayout w:type="fixed"/>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第二十条第（五）项</w:t>
            </w:r>
          </w:p>
        </w:tc>
      </w:tr>
      <w:tr>
        <w:tblPrEx>
          <w:tblLayout w:type="fixed"/>
          <w:tblCellMar>
            <w:top w:w="0" w:type="dxa"/>
            <w:left w:w="0" w:type="dxa"/>
            <w:bottom w:w="0" w:type="dxa"/>
            <w:right w:w="0" w:type="dxa"/>
          </w:tblCellMar>
        </w:tblPrEx>
        <w:trPr>
          <w:trHeight w:val="90" w:hRule="atLeast"/>
          <w:jc w:val="center"/>
        </w:trPr>
        <w:tc>
          <w:tcPr>
            <w:tcW w:w="2105" w:type="dxa"/>
            <w:tcBorders>
              <w:top w:val="nil"/>
              <w:left w:val="single" w:color="auto" w:sz="8" w:space="0"/>
              <w:bottom w:val="single" w:color="auto" w:sz="8" w:space="0"/>
              <w:right w:val="single" w:color="auto" w:sz="4"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信息内容</w:t>
            </w:r>
          </w:p>
        </w:tc>
        <w:tc>
          <w:tcPr>
            <w:tcW w:w="631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105" w:type="dxa"/>
            <w:tcBorders>
              <w:top w:val="single" w:color="auto" w:sz="8" w:space="0"/>
              <w:left w:val="single" w:color="auto" w:sz="8" w:space="0"/>
              <w:bottom w:val="single" w:color="auto" w:sz="8" w:space="0"/>
              <w:right w:val="single" w:color="auto" w:sz="4" w:space="0"/>
            </w:tcBorders>
            <w:noWrap w:val="0"/>
            <w:tcMar>
              <w:left w:w="57" w:type="dxa"/>
              <w:right w:w="57" w:type="dxa"/>
            </w:tcMar>
            <w:vAlign w:val="center"/>
          </w:tcPr>
          <w:p>
            <w:pPr>
              <w:widowControl/>
              <w:spacing w:line="30" w:lineRule="atLeast"/>
              <w:jc w:val="left"/>
              <w:rPr>
                <w:szCs w:val="21"/>
              </w:rPr>
            </w:pPr>
            <w:r>
              <w:rPr>
                <w:rFonts w:hint="eastAsia" w:ascii="宋体" w:hAnsi="宋体" w:cs="宋体"/>
                <w:color w:val="000000"/>
                <w:kern w:val="0"/>
                <w:szCs w:val="21"/>
                <w:lang w:bidi="ar"/>
              </w:rPr>
              <w:t>行政许可</w:t>
            </w:r>
          </w:p>
        </w:tc>
        <w:tc>
          <w:tcPr>
            <w:tcW w:w="631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30" w:lineRule="atLeast"/>
              <w:jc w:val="center"/>
              <w:rPr>
                <w:rFonts w:hint="default" w:eastAsia="宋体"/>
                <w:szCs w:val="21"/>
                <w:lang w:val="en-US" w:eastAsia="zh-CN"/>
              </w:rPr>
            </w:pPr>
            <w:r>
              <w:rPr>
                <w:rFonts w:hint="eastAsia"/>
                <w:szCs w:val="21"/>
                <w:lang w:val="en-US" w:eastAsia="zh-CN"/>
              </w:rPr>
              <w:t>221</w:t>
            </w:r>
          </w:p>
        </w:tc>
      </w:tr>
      <w:tr>
        <w:tblPrEx>
          <w:tblLayout w:type="fixed"/>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第二十条第（六）项</w:t>
            </w:r>
          </w:p>
        </w:tc>
      </w:tr>
      <w:tr>
        <w:tblPrEx>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信息内容</w:t>
            </w:r>
          </w:p>
        </w:tc>
        <w:tc>
          <w:tcPr>
            <w:tcW w:w="631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本年处理决定数量</w:t>
            </w:r>
          </w:p>
        </w:tc>
      </w:tr>
      <w:tr>
        <w:tblPrEx>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30" w:lineRule="atLeast"/>
              <w:jc w:val="left"/>
              <w:rPr>
                <w:szCs w:val="21"/>
              </w:rPr>
            </w:pPr>
            <w:r>
              <w:rPr>
                <w:rFonts w:hint="eastAsia" w:ascii="宋体" w:hAnsi="宋体" w:cs="宋体"/>
                <w:color w:val="000000"/>
                <w:kern w:val="0"/>
                <w:szCs w:val="21"/>
                <w:lang w:bidi="ar"/>
              </w:rPr>
              <w:t>行政处罚</w:t>
            </w:r>
          </w:p>
        </w:tc>
        <w:tc>
          <w:tcPr>
            <w:tcW w:w="631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30" w:lineRule="atLeast"/>
              <w:jc w:val="center"/>
              <w:rPr>
                <w:rFonts w:hint="default" w:eastAsia="宋体"/>
                <w:szCs w:val="21"/>
                <w:lang w:val="en-US" w:eastAsia="zh-CN"/>
              </w:rPr>
            </w:pPr>
            <w:r>
              <w:rPr>
                <w:rFonts w:hint="eastAsia" w:ascii="宋体" w:hAnsi="宋体" w:cs="宋体"/>
                <w:color w:val="000000"/>
                <w:kern w:val="0"/>
                <w:szCs w:val="21"/>
                <w:lang w:val="en-US" w:eastAsia="zh-CN" w:bidi="ar"/>
              </w:rPr>
              <w:t>33</w:t>
            </w:r>
          </w:p>
        </w:tc>
      </w:tr>
      <w:tr>
        <w:tblPrEx>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30" w:lineRule="atLeast"/>
              <w:jc w:val="left"/>
              <w:rPr>
                <w:szCs w:val="21"/>
              </w:rPr>
            </w:pPr>
            <w:r>
              <w:rPr>
                <w:rFonts w:hint="eastAsia" w:ascii="宋体" w:hAnsi="宋体" w:cs="宋体"/>
                <w:color w:val="000000"/>
                <w:kern w:val="0"/>
                <w:szCs w:val="21"/>
                <w:lang w:bidi="ar"/>
              </w:rPr>
              <w:t>行政强制</w:t>
            </w:r>
          </w:p>
        </w:tc>
        <w:tc>
          <w:tcPr>
            <w:tcW w:w="631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0</w:t>
            </w:r>
          </w:p>
        </w:tc>
      </w:tr>
      <w:tr>
        <w:tblPrEx>
          <w:tblLayout w:type="fixed"/>
          <w:tblCellMar>
            <w:top w:w="0" w:type="dxa"/>
            <w:left w:w="0" w:type="dxa"/>
            <w:bottom w:w="0" w:type="dxa"/>
            <w:right w:w="0" w:type="dxa"/>
          </w:tblCellMar>
        </w:tblPrEx>
        <w:trPr>
          <w:trHeight w:val="340" w:hRule="atLeast"/>
          <w:jc w:val="center"/>
        </w:trPr>
        <w:tc>
          <w:tcPr>
            <w:tcW w:w="842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第二十条第（八）项</w:t>
            </w:r>
          </w:p>
        </w:tc>
      </w:tr>
      <w:tr>
        <w:tblPrEx>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信息内容</w:t>
            </w:r>
          </w:p>
        </w:tc>
        <w:tc>
          <w:tcPr>
            <w:tcW w:w="6315" w:type="dxa"/>
            <w:gridSpan w:val="3"/>
            <w:tcBorders>
              <w:top w:val="nil"/>
              <w:left w:val="nil"/>
              <w:bottom w:val="single" w:color="auto" w:sz="8" w:space="0"/>
              <w:right w:val="single" w:color="000000" w:sz="8" w:space="0"/>
            </w:tcBorders>
            <w:noWrap w:val="0"/>
            <w:tcMar>
              <w:left w:w="57" w:type="dxa"/>
              <w:right w:w="57" w:type="dxa"/>
            </w:tcMar>
            <w:vAlign w:val="center"/>
          </w:tcPr>
          <w:p>
            <w:pPr>
              <w:widowControl/>
              <w:spacing w:line="30" w:lineRule="atLeast"/>
              <w:jc w:val="center"/>
              <w:rPr>
                <w:szCs w:val="21"/>
              </w:rPr>
            </w:pPr>
            <w:r>
              <w:rPr>
                <w:rFonts w:hint="eastAsia" w:ascii="宋体" w:hAnsi="宋体" w:cs="宋体"/>
                <w:color w:val="000000"/>
                <w:kern w:val="0"/>
                <w:szCs w:val="21"/>
                <w:lang w:bidi="ar"/>
              </w:rPr>
              <w:t>本年收费金额（单位：万元）</w:t>
            </w:r>
          </w:p>
        </w:tc>
      </w:tr>
      <w:tr>
        <w:tblPrEx>
          <w:tblLayout w:type="fixed"/>
          <w:tblCellMar>
            <w:top w:w="0" w:type="dxa"/>
            <w:left w:w="0" w:type="dxa"/>
            <w:bottom w:w="0" w:type="dxa"/>
            <w:right w:w="0" w:type="dxa"/>
          </w:tblCellMar>
        </w:tblPrEx>
        <w:trPr>
          <w:trHeight w:val="340" w:hRule="atLeast"/>
          <w:jc w:val="center"/>
        </w:trPr>
        <w:tc>
          <w:tcPr>
            <w:tcW w:w="2105" w:type="dxa"/>
            <w:tcBorders>
              <w:top w:val="nil"/>
              <w:left w:val="single" w:color="auto" w:sz="8" w:space="0"/>
              <w:bottom w:val="single" w:color="auto" w:sz="8" w:space="0"/>
              <w:right w:val="single" w:color="auto" w:sz="8" w:space="0"/>
            </w:tcBorders>
            <w:noWrap w:val="0"/>
            <w:tcMar>
              <w:left w:w="57" w:type="dxa"/>
              <w:right w:w="57" w:type="dxa"/>
            </w:tcMar>
            <w:vAlign w:val="center"/>
          </w:tcPr>
          <w:p>
            <w:pPr>
              <w:widowControl/>
              <w:spacing w:line="30" w:lineRule="atLeast"/>
              <w:jc w:val="left"/>
              <w:rPr>
                <w:szCs w:val="21"/>
                <w:highlight w:val="none"/>
              </w:rPr>
            </w:pPr>
            <w:r>
              <w:rPr>
                <w:rFonts w:hint="eastAsia" w:ascii="宋体" w:hAnsi="宋体" w:cs="宋体"/>
                <w:color w:val="000000"/>
                <w:kern w:val="0"/>
                <w:szCs w:val="21"/>
                <w:highlight w:val="none"/>
                <w:lang w:bidi="ar"/>
              </w:rPr>
              <w:t>行政事业性收费</w:t>
            </w:r>
          </w:p>
        </w:tc>
        <w:tc>
          <w:tcPr>
            <w:tcW w:w="6315"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ascii="宋体" w:hAnsi="宋体" w:cs="宋体"/>
                <w:color w:val="333333"/>
                <w:szCs w:val="21"/>
                <w:highlight w:val="none"/>
              </w:rPr>
            </w:pPr>
            <w:r>
              <w:rPr>
                <w:rFonts w:ascii="宋体" w:hAnsi="宋体" w:cs="宋体"/>
                <w:color w:val="333333"/>
                <w:szCs w:val="21"/>
                <w:highlight w:val="none"/>
              </w:rPr>
              <w:t>0</w:t>
            </w:r>
          </w:p>
        </w:tc>
      </w:tr>
    </w:tbl>
    <w:p>
      <w:pPr>
        <w:widowControl/>
        <w:jc w:val="left"/>
      </w:pPr>
    </w:p>
    <w:p>
      <w:pPr>
        <w:pStyle w:val="2"/>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三、收到和处理政府信息公开申请情况</w:t>
      </w:r>
      <w:bookmarkStart w:id="2" w:name="_GoBack"/>
      <w:bookmarkEnd w:id="2"/>
    </w:p>
    <w:p>
      <w:pPr>
        <w:pStyle w:val="2"/>
        <w:spacing w:line="360" w:lineRule="auto"/>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2025年新收到政府信息公开申请181件，予以公开47</w:t>
      </w:r>
    </w:p>
    <w:p>
      <w:pPr>
        <w:pStyle w:val="2"/>
        <w:spacing w:line="360" w:lineRule="auto"/>
        <w:jc w:val="both"/>
        <w:rPr>
          <w:rFonts w:hint="eastAsia" w:ascii="仿宋" w:hAnsi="仿宋" w:eastAsia="仿宋" w:cs="仿宋"/>
          <w:sz w:val="32"/>
          <w:szCs w:val="32"/>
          <w:highlight w:val="none"/>
        </w:rPr>
      </w:pPr>
      <w:r>
        <w:rPr>
          <w:rFonts w:hint="eastAsia" w:ascii="仿宋" w:hAnsi="仿宋" w:eastAsia="仿宋" w:cs="仿宋"/>
          <w:sz w:val="32"/>
          <w:szCs w:val="32"/>
          <w:highlight w:val="none"/>
        </w:rPr>
        <w:t>件，部分公开19件，不予公开1件，本机关不掌握相关政府信息无法提供96件，已全部按期答复处理，对符合法定条件的依申请公开案件答复率为100%。</w:t>
      </w:r>
    </w:p>
    <w:tbl>
      <w:tblPr>
        <w:tblStyle w:val="3"/>
        <w:tblW w:w="8469"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
      <w:tblGrid>
        <w:gridCol w:w="654"/>
        <w:gridCol w:w="793"/>
        <w:gridCol w:w="2844"/>
        <w:gridCol w:w="640"/>
        <w:gridCol w:w="589"/>
        <w:gridCol w:w="589"/>
        <w:gridCol w:w="589"/>
        <w:gridCol w:w="589"/>
        <w:gridCol w:w="600"/>
        <w:gridCol w:w="5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291" w:type="dxa"/>
            <w:gridSpan w:val="3"/>
            <w:vMerge w:val="restart"/>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widowControl/>
              <w:spacing w:line="300" w:lineRule="exact"/>
              <w:jc w:val="left"/>
            </w:pPr>
            <w:r>
              <w:rPr>
                <w:rFonts w:hint="eastAsia" w:ascii="楷体" w:hAnsi="楷体" w:eastAsia="楷体" w:cs="楷体"/>
                <w:color w:val="333333"/>
                <w:kern w:val="0"/>
                <w:sz w:val="20"/>
                <w:szCs w:val="20"/>
                <w:lang w:bidi="ar"/>
              </w:rPr>
              <w:t>（本列数据的勾稽关系为：第一项加第二项之和，等于第三项加第四项之和）</w:t>
            </w:r>
          </w:p>
        </w:tc>
        <w:tc>
          <w:tcPr>
            <w:tcW w:w="4178" w:type="dxa"/>
            <w:gridSpan w:val="7"/>
            <w:tcBorders>
              <w:top w:val="single" w:color="auto" w:sz="8" w:space="0"/>
              <w:left w:val="single" w:color="auto" w:sz="0" w:space="0"/>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291"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spacing w:line="300" w:lineRule="exact"/>
              <w:jc w:val="left"/>
              <w:rPr>
                <w:rFonts w:ascii="宋体" w:hAnsi="宋体" w:cs="宋体"/>
                <w:color w:val="333333"/>
                <w:szCs w:val="21"/>
              </w:rPr>
            </w:pPr>
          </w:p>
        </w:tc>
        <w:tc>
          <w:tcPr>
            <w:tcW w:w="640" w:type="dxa"/>
            <w:vMerge w:val="restart"/>
            <w:tcBorders>
              <w:top w:val="single" w:color="auto" w:sz="0" w:space="0"/>
              <w:left w:val="single" w:color="auto" w:sz="0" w:space="0"/>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自然人</w:t>
            </w:r>
          </w:p>
        </w:tc>
        <w:tc>
          <w:tcPr>
            <w:tcW w:w="2956" w:type="dxa"/>
            <w:gridSpan w:val="5"/>
            <w:tcBorders>
              <w:top w:val="single" w:color="auto" w:sz="8" w:space="0"/>
              <w:left w:val="single" w:color="auto" w:sz="0" w:space="0"/>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法人或其他组织</w:t>
            </w:r>
          </w:p>
        </w:tc>
        <w:tc>
          <w:tcPr>
            <w:tcW w:w="582" w:type="dxa"/>
            <w:vMerge w:val="restart"/>
            <w:tcBorders>
              <w:top w:val="single" w:color="auto" w:sz="8" w:space="0"/>
              <w:left w:val="single" w:color="auto" w:sz="0" w:space="0"/>
              <w:bottom w:val="outset" w:color="auto" w:sz="6"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291" w:type="dxa"/>
            <w:gridSpan w:val="3"/>
            <w:vMerge w:val="continue"/>
            <w:tcBorders>
              <w:top w:val="single" w:color="auto" w:sz="8" w:space="0"/>
              <w:left w:val="single" w:color="auto" w:sz="8" w:space="0"/>
              <w:bottom w:val="outset" w:color="auto" w:sz="6" w:space="0"/>
              <w:right w:val="single" w:color="auto" w:sz="8" w:space="0"/>
            </w:tcBorders>
            <w:noWrap w:val="0"/>
            <w:tcMar>
              <w:left w:w="108" w:type="dxa"/>
              <w:right w:w="108" w:type="dxa"/>
            </w:tcMar>
            <w:vAlign w:val="center"/>
          </w:tcPr>
          <w:p>
            <w:pPr>
              <w:spacing w:line="300" w:lineRule="exact"/>
              <w:jc w:val="left"/>
              <w:rPr>
                <w:rFonts w:ascii="宋体" w:hAnsi="宋体" w:cs="宋体"/>
                <w:color w:val="333333"/>
                <w:szCs w:val="21"/>
              </w:rPr>
            </w:pPr>
          </w:p>
        </w:tc>
        <w:tc>
          <w:tcPr>
            <w:tcW w:w="640" w:type="dxa"/>
            <w:vMerge w:val="continue"/>
            <w:tcBorders>
              <w:top w:val="single" w:color="auto" w:sz="0" w:space="0"/>
              <w:left w:val="single" w:color="auto" w:sz="0" w:space="0"/>
              <w:bottom w:val="single" w:color="auto" w:sz="8" w:space="0"/>
              <w:right w:val="single" w:color="auto" w:sz="8" w:space="0"/>
            </w:tcBorders>
            <w:noWrap w:val="0"/>
            <w:vAlign w:val="center"/>
          </w:tcPr>
          <w:p>
            <w:pPr>
              <w:spacing w:line="300" w:lineRule="exact"/>
              <w:jc w:val="left"/>
              <w:rPr>
                <w:rFonts w:ascii="宋体" w:hAnsi="宋体" w:cs="宋体"/>
                <w:color w:val="333333"/>
                <w:szCs w:val="21"/>
              </w:rPr>
            </w:pPr>
          </w:p>
        </w:tc>
        <w:tc>
          <w:tcPr>
            <w:tcW w:w="589" w:type="dxa"/>
            <w:tcBorders>
              <w:top w:val="single" w:color="auto" w:sz="0" w:space="0"/>
              <w:left w:val="single" w:color="auto" w:sz="0" w:space="0"/>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商业</w:t>
            </w:r>
          </w:p>
          <w:p>
            <w:pPr>
              <w:widowControl/>
              <w:spacing w:line="300" w:lineRule="exact"/>
              <w:jc w:val="center"/>
              <w:rPr>
                <w:rFonts w:ascii="宋体" w:hAnsi="宋体" w:cs="宋体"/>
                <w:szCs w:val="21"/>
              </w:rPr>
            </w:pPr>
            <w:r>
              <w:rPr>
                <w:rFonts w:hint="eastAsia" w:ascii="宋体" w:hAnsi="宋体" w:cs="宋体"/>
                <w:color w:val="333333"/>
                <w:kern w:val="0"/>
                <w:szCs w:val="21"/>
                <w:lang w:bidi="ar"/>
              </w:rPr>
              <w:t>企业</w:t>
            </w:r>
          </w:p>
        </w:tc>
        <w:tc>
          <w:tcPr>
            <w:tcW w:w="589" w:type="dxa"/>
            <w:tcBorders>
              <w:top w:val="single" w:color="auto" w:sz="0" w:space="0"/>
              <w:left w:val="single" w:color="auto" w:sz="0" w:space="0"/>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科研</w:t>
            </w:r>
          </w:p>
          <w:p>
            <w:pPr>
              <w:widowControl/>
              <w:spacing w:line="300" w:lineRule="exact"/>
              <w:jc w:val="center"/>
              <w:rPr>
                <w:rFonts w:ascii="宋体" w:hAnsi="宋体" w:cs="宋体"/>
                <w:szCs w:val="21"/>
              </w:rPr>
            </w:pPr>
            <w:r>
              <w:rPr>
                <w:rFonts w:hint="eastAsia" w:ascii="宋体" w:hAnsi="宋体" w:cs="宋体"/>
                <w:color w:val="333333"/>
                <w:kern w:val="0"/>
                <w:szCs w:val="21"/>
                <w:lang w:bidi="ar"/>
              </w:rPr>
              <w:t>机构</w:t>
            </w:r>
          </w:p>
        </w:tc>
        <w:tc>
          <w:tcPr>
            <w:tcW w:w="589" w:type="dxa"/>
            <w:tcBorders>
              <w:top w:val="single" w:color="auto" w:sz="8" w:space="0"/>
              <w:left w:val="single" w:color="auto" w:sz="0" w:space="0"/>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社会公益组织</w:t>
            </w:r>
          </w:p>
        </w:tc>
        <w:tc>
          <w:tcPr>
            <w:tcW w:w="589" w:type="dxa"/>
            <w:tcBorders>
              <w:top w:val="single" w:color="auto" w:sz="8" w:space="0"/>
              <w:left w:val="single" w:color="auto" w:sz="0" w:space="0"/>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法律服务机构</w:t>
            </w:r>
          </w:p>
        </w:tc>
        <w:tc>
          <w:tcPr>
            <w:tcW w:w="600" w:type="dxa"/>
            <w:tcBorders>
              <w:top w:val="single" w:color="auto" w:sz="8" w:space="0"/>
              <w:left w:val="single" w:color="auto" w:sz="0" w:space="0"/>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其他</w:t>
            </w:r>
          </w:p>
        </w:tc>
        <w:tc>
          <w:tcPr>
            <w:tcW w:w="582" w:type="dxa"/>
            <w:vMerge w:val="continue"/>
            <w:tcBorders>
              <w:top w:val="single" w:color="auto" w:sz="8"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291" w:type="dxa"/>
            <w:gridSpan w:val="3"/>
            <w:tcBorders>
              <w:top w:val="nil"/>
              <w:left w:val="single" w:color="auto" w:sz="8" w:space="0"/>
              <w:bottom w:val="single" w:color="auto" w:sz="8" w:space="0"/>
              <w:right w:val="single" w:color="auto" w:sz="8" w:space="0"/>
            </w:tcBorders>
            <w:noWrap w:val="0"/>
            <w:vAlign w:val="center"/>
          </w:tcPr>
          <w:p>
            <w:pPr>
              <w:widowControl/>
              <w:spacing w:line="300" w:lineRule="exact"/>
              <w:jc w:val="left"/>
              <w:rPr>
                <w:rFonts w:ascii="宋体" w:hAnsi="宋体" w:cs="宋体"/>
                <w:szCs w:val="21"/>
              </w:rPr>
            </w:pPr>
            <w:r>
              <w:rPr>
                <w:rFonts w:hint="eastAsia" w:ascii="宋体" w:hAnsi="宋体" w:cs="宋体"/>
                <w:color w:val="333333"/>
                <w:kern w:val="0"/>
                <w:szCs w:val="21"/>
                <w:lang w:bidi="ar"/>
              </w:rPr>
              <w:t>一、本年新收政府信息公开申请数量</w:t>
            </w:r>
          </w:p>
        </w:tc>
        <w:tc>
          <w:tcPr>
            <w:tcW w:w="640" w:type="dxa"/>
            <w:tcBorders>
              <w:top w:val="nil"/>
              <w:left w:val="nil"/>
              <w:bottom w:val="single" w:color="auto" w:sz="8" w:space="0"/>
              <w:right w:val="single" w:color="auto" w:sz="8" w:space="0"/>
            </w:tcBorders>
            <w:noWrap w:val="0"/>
            <w:vAlign w:val="center"/>
          </w:tcPr>
          <w:p>
            <w:pPr>
              <w:widowControl/>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181</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szCs w:val="21"/>
              </w:rPr>
              <w:t>0</w:t>
            </w:r>
          </w:p>
        </w:tc>
        <w:tc>
          <w:tcPr>
            <w:tcW w:w="600"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181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291" w:type="dxa"/>
            <w:gridSpan w:val="3"/>
            <w:tcBorders>
              <w:top w:val="nil"/>
              <w:left w:val="single" w:color="auto" w:sz="8" w:space="0"/>
              <w:bottom w:val="single" w:color="auto" w:sz="8" w:space="0"/>
              <w:right w:val="single" w:color="auto" w:sz="8" w:space="0"/>
            </w:tcBorders>
            <w:noWrap w:val="0"/>
            <w:vAlign w:val="center"/>
          </w:tcPr>
          <w:p>
            <w:pPr>
              <w:widowControl/>
              <w:spacing w:line="300" w:lineRule="exact"/>
              <w:jc w:val="left"/>
              <w:rPr>
                <w:rFonts w:ascii="宋体" w:hAnsi="宋体" w:cs="宋体"/>
                <w:szCs w:val="21"/>
              </w:rPr>
            </w:pPr>
            <w:r>
              <w:rPr>
                <w:rFonts w:hint="eastAsia" w:ascii="宋体" w:hAnsi="宋体" w:cs="宋体"/>
                <w:color w:val="333333"/>
                <w:kern w:val="0"/>
                <w:szCs w:val="21"/>
                <w:lang w:bidi="ar"/>
              </w:rPr>
              <w:t>二、上年结转政府信息公开申请数量</w:t>
            </w:r>
          </w:p>
        </w:tc>
        <w:tc>
          <w:tcPr>
            <w:tcW w:w="640"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hint="eastAsia" w:ascii="宋体" w:hAnsi="宋体" w:cs="宋体"/>
                <w:szCs w:val="21"/>
              </w:rPr>
            </w:pPr>
            <w:r>
              <w:rPr>
                <w:rFonts w:hint="eastAsia" w:ascii="宋体" w:hAnsi="宋体" w:cs="宋体"/>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restart"/>
            <w:tcBorders>
              <w:top w:val="single" w:color="auto" w:sz="0" w:space="0"/>
              <w:left w:val="single" w:color="auto" w:sz="8" w:space="0"/>
              <w:bottom w:val="outset" w:color="auto" w:sz="6" w:space="0"/>
              <w:right w:val="single" w:color="auto" w:sz="8" w:space="0"/>
            </w:tcBorders>
            <w:noWrap w:val="0"/>
            <w:vAlign w:val="center"/>
          </w:tcPr>
          <w:p>
            <w:pPr>
              <w:widowControl/>
              <w:spacing w:line="300" w:lineRule="exact"/>
              <w:jc w:val="left"/>
              <w:rPr>
                <w:rFonts w:ascii="宋体" w:hAnsi="宋体" w:cs="宋体"/>
                <w:szCs w:val="21"/>
              </w:rPr>
            </w:pPr>
            <w:r>
              <w:rPr>
                <w:rFonts w:hint="eastAsia" w:ascii="宋体" w:hAnsi="宋体" w:cs="宋体"/>
                <w:color w:val="333333"/>
                <w:kern w:val="0"/>
                <w:szCs w:val="21"/>
                <w:lang w:bidi="ar"/>
              </w:rPr>
              <w:t>三、本年度办理结果</w:t>
            </w:r>
          </w:p>
        </w:tc>
        <w:tc>
          <w:tcPr>
            <w:tcW w:w="3637" w:type="dxa"/>
            <w:gridSpan w:val="2"/>
            <w:tcBorders>
              <w:top w:val="single" w:color="auto" w:sz="0" w:space="0"/>
              <w:left w:val="single" w:color="auto" w:sz="0" w:space="0"/>
              <w:bottom w:val="single" w:color="auto" w:sz="8" w:space="0"/>
              <w:right w:val="single" w:color="auto" w:sz="8" w:space="0"/>
            </w:tcBorders>
            <w:noWrap w:val="0"/>
            <w:vAlign w:val="center"/>
          </w:tcPr>
          <w:p>
            <w:pPr>
              <w:widowControl/>
              <w:spacing w:line="300" w:lineRule="exact"/>
              <w:jc w:val="left"/>
              <w:rPr>
                <w:rFonts w:ascii="宋体" w:hAnsi="宋体" w:cs="宋体"/>
                <w:szCs w:val="21"/>
              </w:rPr>
            </w:pPr>
            <w:r>
              <w:rPr>
                <w:rFonts w:hint="eastAsia" w:ascii="宋体" w:hAnsi="宋体" w:cs="宋体"/>
                <w:color w:val="333333"/>
                <w:kern w:val="0"/>
                <w:szCs w:val="21"/>
                <w:lang w:bidi="ar"/>
              </w:rPr>
              <w:t>（一）予以公开</w:t>
            </w:r>
          </w:p>
        </w:tc>
        <w:tc>
          <w:tcPr>
            <w:tcW w:w="640" w:type="dxa"/>
            <w:tcBorders>
              <w:top w:val="nil"/>
              <w:left w:val="nil"/>
              <w:bottom w:val="single" w:color="auto" w:sz="8" w:space="0"/>
              <w:right w:val="single" w:color="auto" w:sz="8" w:space="0"/>
            </w:tcBorders>
            <w:noWrap w:val="0"/>
            <w:vAlign w:val="center"/>
          </w:tcPr>
          <w:p>
            <w:pPr>
              <w:widowControl/>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47</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47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3637" w:type="dxa"/>
            <w:gridSpan w:val="2"/>
            <w:tcBorders>
              <w:top w:val="single" w:color="auto" w:sz="0" w:space="0"/>
              <w:left w:val="single" w:color="auto" w:sz="0" w:space="0"/>
              <w:bottom w:val="single" w:color="auto" w:sz="8" w:space="0"/>
              <w:right w:val="single" w:color="auto" w:sz="8" w:space="0"/>
            </w:tcBorders>
            <w:noWrap w:val="0"/>
            <w:vAlign w:val="center"/>
          </w:tcPr>
          <w:p>
            <w:pPr>
              <w:widowControl/>
              <w:spacing w:line="300" w:lineRule="exact"/>
              <w:jc w:val="left"/>
              <w:rPr>
                <w:rFonts w:ascii="宋体" w:hAnsi="宋体" w:cs="宋体"/>
                <w:szCs w:val="21"/>
              </w:rPr>
            </w:pPr>
            <w:r>
              <w:rPr>
                <w:rFonts w:hint="eastAsia" w:ascii="宋体" w:hAnsi="宋体" w:cs="宋体"/>
                <w:color w:val="333333"/>
                <w:kern w:val="0"/>
                <w:szCs w:val="21"/>
                <w:lang w:bidi="ar"/>
              </w:rPr>
              <w:t>（二）部分公开（区分处理的，只计这一情形，不计其他情形）</w:t>
            </w:r>
          </w:p>
        </w:tc>
        <w:tc>
          <w:tcPr>
            <w:tcW w:w="640" w:type="dxa"/>
            <w:tcBorders>
              <w:top w:val="nil"/>
              <w:left w:val="nil"/>
              <w:bottom w:val="single" w:color="auto" w:sz="8" w:space="0"/>
              <w:right w:val="single" w:color="auto" w:sz="8" w:space="0"/>
            </w:tcBorders>
            <w:noWrap w:val="0"/>
            <w:vAlign w:val="center"/>
          </w:tcPr>
          <w:p>
            <w:pPr>
              <w:widowControl/>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19</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eastAsia="宋体" w:cs="宋体"/>
                <w:szCs w:val="21"/>
                <w:lang w:val="en-US" w:eastAsia="zh-CN"/>
              </w:rPr>
            </w:pPr>
            <w:r>
              <w:rPr>
                <w:rFonts w:hint="eastAsia" w:ascii="宋体" w:hAnsi="宋体" w:cs="宋体"/>
                <w:szCs w:val="21"/>
                <w:lang w:val="en-US" w:eastAsia="zh-CN"/>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szCs w:val="21"/>
              </w:rPr>
              <w:t>0</w:t>
            </w:r>
          </w:p>
        </w:tc>
        <w:tc>
          <w:tcPr>
            <w:tcW w:w="600"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szCs w:val="21"/>
              </w:rPr>
              <w:t>0</w:t>
            </w:r>
          </w:p>
        </w:tc>
        <w:tc>
          <w:tcPr>
            <w:tcW w:w="582" w:type="dxa"/>
            <w:tcBorders>
              <w:top w:val="nil"/>
              <w:left w:val="nil"/>
              <w:bottom w:val="single" w:color="auto" w:sz="8" w:space="0"/>
              <w:right w:val="single" w:color="auto" w:sz="8" w:space="0"/>
            </w:tcBorders>
            <w:noWrap w:val="0"/>
            <w:vAlign w:val="center"/>
          </w:tcPr>
          <w:p>
            <w:pPr>
              <w:widowControl/>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19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restart"/>
            <w:tcBorders>
              <w:top w:val="single" w:color="auto" w:sz="0" w:space="0"/>
              <w:left w:val="single" w:color="auto" w:sz="0" w:space="0"/>
              <w:bottom w:val="outset" w:color="auto" w:sz="6" w:space="0"/>
              <w:right w:val="single" w:color="auto" w:sz="8" w:space="0"/>
            </w:tcBorders>
            <w:noWrap w:val="0"/>
            <w:vAlign w:val="center"/>
          </w:tcPr>
          <w:p>
            <w:pPr>
              <w:widowControl/>
              <w:spacing w:line="300" w:lineRule="exact"/>
              <w:jc w:val="left"/>
              <w:rPr>
                <w:rFonts w:ascii="宋体" w:hAnsi="宋体" w:cs="宋体"/>
                <w:szCs w:val="21"/>
              </w:rPr>
            </w:pPr>
            <w:r>
              <w:rPr>
                <w:rFonts w:hint="eastAsia" w:ascii="宋体" w:hAnsi="宋体" w:cs="宋体"/>
                <w:color w:val="333333"/>
                <w:kern w:val="0"/>
                <w:szCs w:val="21"/>
                <w:lang w:bidi="ar"/>
              </w:rPr>
              <w:t>（三）不予公开</w:t>
            </w:r>
          </w:p>
        </w:tc>
        <w:tc>
          <w:tcPr>
            <w:tcW w:w="2844" w:type="dxa"/>
            <w:tcBorders>
              <w:top w:val="single" w:color="auto" w:sz="0"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1.属于国家秘密</w:t>
            </w:r>
          </w:p>
        </w:tc>
        <w:tc>
          <w:tcPr>
            <w:tcW w:w="640" w:type="dxa"/>
            <w:tcBorders>
              <w:top w:val="nil"/>
              <w:left w:val="nil"/>
              <w:bottom w:val="single" w:color="auto" w:sz="8" w:space="0"/>
              <w:right w:val="single" w:color="auto" w:sz="8" w:space="0"/>
            </w:tcBorders>
            <w:noWrap w:val="0"/>
            <w:vAlign w:val="top"/>
          </w:tcPr>
          <w:p>
            <w:pPr>
              <w:widowControl/>
              <w:spacing w:line="30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hint="eastAsia" w:ascii="宋体" w:hAnsi="宋体" w:eastAsia="宋体" w:cs="宋体"/>
                <w:szCs w:val="21"/>
                <w:lang w:val="en-US" w:eastAsia="zh-CN"/>
              </w:rPr>
            </w:pPr>
            <w:r>
              <w:rPr>
                <w:rFonts w:hint="eastAsia" w:ascii="宋体" w:hAnsi="宋体" w:cs="宋体"/>
                <w:szCs w:val="21"/>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single" w:color="auto" w:sz="0"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0"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2.其他法律行政法规禁止公开</w:t>
            </w:r>
          </w:p>
        </w:tc>
        <w:tc>
          <w:tcPr>
            <w:tcW w:w="640" w:type="dxa"/>
            <w:tcBorders>
              <w:top w:val="nil"/>
              <w:left w:val="nil"/>
              <w:bottom w:val="single" w:color="auto" w:sz="8" w:space="0"/>
              <w:right w:val="single" w:color="auto" w:sz="8" w:space="0"/>
            </w:tcBorders>
            <w:noWrap w:val="0"/>
            <w:vAlign w:val="top"/>
          </w:tcPr>
          <w:p>
            <w:pPr>
              <w:widowControl/>
              <w:spacing w:line="300" w:lineRule="exact"/>
              <w:jc w:val="center"/>
              <w:rPr>
                <w:rFonts w:hint="eastAsia" w:ascii="宋体" w:hAnsi="宋体" w:eastAsia="宋体" w:cs="宋体"/>
                <w:szCs w:val="21"/>
                <w:lang w:val="en-US" w:eastAsia="zh-CN"/>
              </w:rPr>
            </w:pPr>
            <w:r>
              <w:rPr>
                <w:rFonts w:hint="eastAsia" w:ascii="宋体" w:hAnsi="宋体" w:cs="宋体"/>
                <w:szCs w:val="21"/>
                <w:lang w:val="en-US" w:eastAsia="zh-CN"/>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hint="eastAsia" w:ascii="宋体" w:hAnsi="宋体" w:eastAsia="宋体" w:cs="宋体"/>
                <w:szCs w:val="21"/>
                <w:lang w:val="en-US" w:eastAsia="zh-CN"/>
              </w:rPr>
            </w:pPr>
            <w:r>
              <w:rPr>
                <w:rFonts w:hint="eastAsia" w:ascii="宋体" w:hAnsi="宋体" w:cs="宋体"/>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single" w:color="auto" w:sz="0"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0"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3.危及“三安全一稳定”</w:t>
            </w:r>
          </w:p>
        </w:tc>
        <w:tc>
          <w:tcPr>
            <w:tcW w:w="64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ascii="宋体" w:hAnsi="宋体" w:cs="宋体"/>
                <w:color w:val="333333"/>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single" w:color="auto" w:sz="0"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0"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4.保护第三方合法权益</w:t>
            </w:r>
          </w:p>
        </w:tc>
        <w:tc>
          <w:tcPr>
            <w:tcW w:w="64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ascii="宋体" w:hAnsi="宋体" w:cs="宋体"/>
                <w:color w:val="333333"/>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single" w:color="auto" w:sz="0"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0"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5.属于三类内部事务信息</w:t>
            </w:r>
          </w:p>
        </w:tc>
        <w:tc>
          <w:tcPr>
            <w:tcW w:w="64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ascii="宋体" w:hAnsi="宋体" w:cs="宋体"/>
                <w:color w:val="333333"/>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single" w:color="auto" w:sz="0"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0"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6.属于四类过程性信息</w:t>
            </w:r>
          </w:p>
        </w:tc>
        <w:tc>
          <w:tcPr>
            <w:tcW w:w="640" w:type="dxa"/>
            <w:tcBorders>
              <w:top w:val="nil"/>
              <w:left w:val="nil"/>
              <w:bottom w:val="single" w:color="auto" w:sz="8" w:space="0"/>
              <w:right w:val="single" w:color="auto" w:sz="8" w:space="0"/>
            </w:tcBorders>
            <w:noWrap w:val="0"/>
            <w:vAlign w:val="top"/>
          </w:tcPr>
          <w:p>
            <w:pPr>
              <w:widowControl/>
              <w:spacing w:line="300" w:lineRule="exact"/>
              <w:jc w:val="center"/>
              <w:rPr>
                <w:rFonts w:hint="eastAsia" w:ascii="宋体" w:hAnsi="宋体" w:cs="宋体"/>
                <w:szCs w:val="21"/>
              </w:rPr>
            </w:pPr>
            <w:r>
              <w:rPr>
                <w:rFonts w:hint="eastAsia" w:ascii="宋体" w:hAnsi="宋体" w:cs="宋体"/>
                <w:color w:val="333333"/>
                <w:kern w:val="0"/>
                <w:szCs w:val="21"/>
                <w:lang w:bidi="ar"/>
              </w:rPr>
              <w:t>3</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hint="eastAsia" w:ascii="宋体" w:hAnsi="宋体" w:cs="宋体"/>
                <w:szCs w:val="21"/>
              </w:rPr>
            </w:pPr>
            <w:r>
              <w:rPr>
                <w:rFonts w:hint="eastAsia" w:ascii="宋体" w:hAnsi="宋体" w:cs="宋体"/>
                <w:szCs w:val="21"/>
              </w:rPr>
              <w:t>3</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single" w:color="auto" w:sz="0"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0"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7.属于行政执法案卷</w:t>
            </w:r>
          </w:p>
        </w:tc>
        <w:tc>
          <w:tcPr>
            <w:tcW w:w="64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60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ascii="宋体" w:hAnsi="宋体" w:cs="宋体"/>
                <w:color w:val="333333"/>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single" w:color="auto" w:sz="0"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0"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8.属于行政查询事项</w:t>
            </w:r>
          </w:p>
        </w:tc>
        <w:tc>
          <w:tcPr>
            <w:tcW w:w="64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60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ascii="宋体" w:hAnsi="宋体" w:cs="宋体"/>
                <w:color w:val="333333"/>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restart"/>
            <w:tcBorders>
              <w:top w:val="single" w:color="auto" w:sz="0" w:space="0"/>
              <w:left w:val="single" w:color="auto" w:sz="0" w:space="0"/>
              <w:bottom w:val="outset" w:color="auto" w:sz="6" w:space="0"/>
              <w:right w:val="single" w:color="auto" w:sz="8" w:space="0"/>
            </w:tcBorders>
            <w:noWrap w:val="0"/>
            <w:vAlign w:val="center"/>
          </w:tcPr>
          <w:p>
            <w:pPr>
              <w:widowControl/>
              <w:spacing w:line="300" w:lineRule="exact"/>
              <w:jc w:val="left"/>
              <w:rPr>
                <w:rFonts w:ascii="宋体" w:hAnsi="宋体" w:cs="宋体"/>
                <w:szCs w:val="21"/>
              </w:rPr>
            </w:pPr>
            <w:r>
              <w:rPr>
                <w:rFonts w:hint="eastAsia" w:ascii="宋体" w:hAnsi="宋体" w:cs="宋体"/>
                <w:color w:val="333333"/>
                <w:kern w:val="0"/>
                <w:szCs w:val="21"/>
                <w:lang w:bidi="ar"/>
              </w:rPr>
              <w:t>（四）无法提供</w:t>
            </w:r>
          </w:p>
        </w:tc>
        <w:tc>
          <w:tcPr>
            <w:tcW w:w="2844" w:type="dxa"/>
            <w:tcBorders>
              <w:top w:val="single" w:color="auto" w:sz="0"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1.本机关不掌握相关政府信息</w:t>
            </w:r>
          </w:p>
        </w:tc>
        <w:tc>
          <w:tcPr>
            <w:tcW w:w="640" w:type="dxa"/>
            <w:tcBorders>
              <w:top w:val="nil"/>
              <w:left w:val="nil"/>
              <w:bottom w:val="single" w:color="auto" w:sz="8" w:space="0"/>
              <w:right w:val="single" w:color="auto" w:sz="8" w:space="0"/>
            </w:tcBorders>
            <w:noWrap w:val="0"/>
            <w:vAlign w:val="top"/>
          </w:tcPr>
          <w:p>
            <w:pPr>
              <w:widowControl/>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96</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hint="eastAsia"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96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single" w:color="auto" w:sz="0"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0"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2.没有现成信息需要另行制作</w:t>
            </w:r>
          </w:p>
        </w:tc>
        <w:tc>
          <w:tcPr>
            <w:tcW w:w="640" w:type="dxa"/>
            <w:tcBorders>
              <w:top w:val="nil"/>
              <w:left w:val="nil"/>
              <w:bottom w:val="single" w:color="auto" w:sz="8" w:space="0"/>
              <w:right w:val="single" w:color="auto" w:sz="8" w:space="0"/>
            </w:tcBorders>
            <w:noWrap w:val="0"/>
            <w:vAlign w:val="top"/>
          </w:tcPr>
          <w:p>
            <w:pPr>
              <w:widowControl/>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15</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15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single" w:color="auto" w:sz="0"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0"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3.补正后申请内容仍不明确</w:t>
            </w:r>
          </w:p>
        </w:tc>
        <w:tc>
          <w:tcPr>
            <w:tcW w:w="64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ascii="宋体" w:hAnsi="宋体" w:cs="宋体"/>
                <w:color w:val="333333"/>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restart"/>
            <w:tcBorders>
              <w:top w:val="single" w:color="auto" w:sz="0" w:space="0"/>
              <w:left w:val="single" w:color="auto" w:sz="0" w:space="0"/>
              <w:bottom w:val="outset" w:color="auto" w:sz="6" w:space="0"/>
              <w:right w:val="single" w:color="auto" w:sz="8" w:space="0"/>
            </w:tcBorders>
            <w:noWrap w:val="0"/>
            <w:vAlign w:val="center"/>
          </w:tcPr>
          <w:p>
            <w:pPr>
              <w:widowControl/>
              <w:spacing w:line="300" w:lineRule="exact"/>
              <w:jc w:val="left"/>
              <w:rPr>
                <w:rFonts w:ascii="宋体" w:hAnsi="宋体" w:cs="宋体"/>
                <w:szCs w:val="21"/>
              </w:rPr>
            </w:pPr>
            <w:r>
              <w:rPr>
                <w:rFonts w:hint="eastAsia" w:ascii="宋体" w:hAnsi="宋体" w:cs="宋体"/>
                <w:color w:val="333333"/>
                <w:kern w:val="0"/>
                <w:szCs w:val="21"/>
                <w:lang w:bidi="ar"/>
              </w:rPr>
              <w:t>（五）不予处理</w:t>
            </w:r>
          </w:p>
        </w:tc>
        <w:tc>
          <w:tcPr>
            <w:tcW w:w="2844" w:type="dxa"/>
            <w:tcBorders>
              <w:top w:val="single" w:color="auto" w:sz="0"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1.信访举报投诉类申请</w:t>
            </w:r>
          </w:p>
        </w:tc>
        <w:tc>
          <w:tcPr>
            <w:tcW w:w="64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600"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szCs w:val="21"/>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ascii="宋体" w:hAnsi="宋体" w:cs="宋体"/>
                <w:color w:val="333333"/>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single" w:color="auto" w:sz="0"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8"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2.重复申请</w:t>
            </w:r>
          </w:p>
        </w:tc>
        <w:tc>
          <w:tcPr>
            <w:tcW w:w="640"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hint="eastAsia" w:ascii="宋体" w:hAnsi="宋体" w:cs="宋体"/>
                <w:szCs w:val="21"/>
              </w:rPr>
            </w:pPr>
            <w:r>
              <w:rPr>
                <w:rFonts w:hint="eastAsia" w:ascii="宋体" w:hAnsi="宋体" w:cs="宋体"/>
                <w:color w:val="333333"/>
                <w:kern w:val="0"/>
                <w:szCs w:val="21"/>
                <w:lang w:bidi="ar"/>
              </w:rPr>
              <w:t>0</w:t>
            </w:r>
          </w:p>
        </w:tc>
        <w:tc>
          <w:tcPr>
            <w:tcW w:w="589"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hint="eastAsia" w:ascii="宋体" w:hAnsi="宋体" w:cs="宋体"/>
                <w:szCs w:val="21"/>
              </w:rPr>
            </w:pPr>
            <w:r>
              <w:rPr>
                <w:rFonts w:hint="eastAsia" w:ascii="宋体" w:hAnsi="宋体" w:cs="宋体"/>
                <w:color w:val="333333"/>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single" w:color="auto" w:sz="0"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8"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3.要求提供公开出版物</w:t>
            </w:r>
          </w:p>
        </w:tc>
        <w:tc>
          <w:tcPr>
            <w:tcW w:w="640"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ascii="宋体" w:hAnsi="宋体" w:cs="宋体"/>
                <w:color w:val="333333"/>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single" w:color="auto" w:sz="0"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8" w:space="0"/>
              <w:left w:val="single" w:color="auto" w:sz="0" w:space="0"/>
              <w:bottom w:val="single" w:color="auto" w:sz="8" w:space="0"/>
              <w:right w:val="single" w:color="auto" w:sz="8" w:space="0"/>
            </w:tcBorders>
            <w:noWrap w:val="0"/>
            <w:vAlign w:val="top"/>
          </w:tcPr>
          <w:p>
            <w:pPr>
              <w:widowControl/>
              <w:spacing w:line="300" w:lineRule="exact"/>
              <w:jc w:val="left"/>
              <w:rPr>
                <w:rFonts w:ascii="宋体" w:hAnsi="宋体" w:cs="宋体"/>
                <w:szCs w:val="21"/>
              </w:rPr>
            </w:pPr>
            <w:r>
              <w:rPr>
                <w:rFonts w:hint="eastAsia" w:ascii="宋体" w:hAnsi="宋体" w:cs="宋体"/>
                <w:color w:val="333333"/>
                <w:kern w:val="0"/>
                <w:szCs w:val="21"/>
                <w:lang w:bidi="ar"/>
              </w:rPr>
              <w:t>4.无正当理由大量反复申请</w:t>
            </w:r>
          </w:p>
        </w:tc>
        <w:tc>
          <w:tcPr>
            <w:tcW w:w="640"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single" w:color="auto" w:sz="8" w:space="0"/>
              <w:left w:val="nil"/>
              <w:bottom w:val="single" w:color="auto" w:sz="8" w:space="0"/>
              <w:right w:val="single" w:color="auto" w:sz="8" w:space="0"/>
            </w:tcBorders>
            <w:noWrap w:val="0"/>
            <w:vAlign w:val="top"/>
          </w:tcPr>
          <w:p>
            <w:pPr>
              <w:widowControl/>
              <w:spacing w:line="300" w:lineRule="exact"/>
              <w:jc w:val="center"/>
              <w:rPr>
                <w:rFonts w:ascii="宋体" w:hAnsi="宋体" w:cs="宋体"/>
                <w:szCs w:val="21"/>
              </w:rPr>
            </w:pPr>
            <w:r>
              <w:rPr>
                <w:rFonts w:ascii="宋体" w:hAnsi="宋体" w:cs="宋体"/>
                <w:color w:val="333333"/>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trHeight w:val="779" w:hRule="atLeast"/>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single" w:color="auto" w:sz="0"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0" w:space="0"/>
              <w:left w:val="single" w:color="auto" w:sz="0" w:space="0"/>
              <w:bottom w:val="outset" w:color="auto" w:sz="6" w:space="0"/>
              <w:right w:val="single" w:color="auto" w:sz="8" w:space="0"/>
            </w:tcBorders>
            <w:noWrap w:val="0"/>
            <w:vAlign w:val="center"/>
          </w:tcPr>
          <w:p>
            <w:pPr>
              <w:widowControl/>
              <w:spacing w:line="300" w:lineRule="exact"/>
              <w:rPr>
                <w:rFonts w:ascii="宋体" w:hAnsi="宋体" w:cs="宋体"/>
                <w:szCs w:val="21"/>
              </w:rPr>
            </w:pPr>
            <w:r>
              <w:rPr>
                <w:rFonts w:hint="eastAsia" w:ascii="宋体" w:hAnsi="宋体" w:cs="宋体"/>
                <w:color w:val="333333"/>
                <w:kern w:val="0"/>
                <w:szCs w:val="21"/>
                <w:lang w:bidi="ar"/>
              </w:rPr>
              <w:t>5.要求行政机关确认或重新出具已获取信息</w:t>
            </w:r>
          </w:p>
        </w:tc>
        <w:tc>
          <w:tcPr>
            <w:tcW w:w="640" w:type="dxa"/>
            <w:tcBorders>
              <w:top w:val="single" w:color="auto" w:sz="0" w:space="0"/>
              <w:left w:val="single" w:color="auto" w:sz="0" w:space="0"/>
              <w:bottom w:val="outset" w:color="auto" w:sz="6"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0" w:space="0"/>
              <w:left w:val="single" w:color="auto" w:sz="0" w:space="0"/>
              <w:bottom w:val="outset" w:color="auto" w:sz="6"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0" w:space="0"/>
              <w:left w:val="single" w:color="auto" w:sz="0" w:space="0"/>
              <w:bottom w:val="outset" w:color="auto" w:sz="6"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0" w:space="0"/>
              <w:left w:val="single" w:color="auto" w:sz="0" w:space="0"/>
              <w:bottom w:val="outset" w:color="auto" w:sz="6"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single" w:color="auto" w:sz="0" w:space="0"/>
              <w:left w:val="single" w:color="auto" w:sz="0" w:space="0"/>
              <w:bottom w:val="outset" w:color="auto" w:sz="6"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single" w:color="auto" w:sz="0" w:space="0"/>
              <w:left w:val="single" w:color="auto" w:sz="0" w:space="0"/>
              <w:bottom w:val="outset" w:color="auto" w:sz="6" w:space="0"/>
              <w:right w:val="single" w:color="auto" w:sz="8" w:space="0"/>
            </w:tcBorders>
            <w:noWrap w:val="0"/>
            <w:vAlign w:val="top"/>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single" w:color="auto" w:sz="0" w:space="0"/>
              <w:left w:val="single" w:color="auto" w:sz="0" w:space="0"/>
              <w:bottom w:val="outset" w:color="auto" w:sz="6" w:space="0"/>
              <w:right w:val="single" w:color="auto" w:sz="8" w:space="0"/>
            </w:tcBorders>
            <w:noWrap w:val="0"/>
            <w:vAlign w:val="center"/>
          </w:tcPr>
          <w:p>
            <w:pPr>
              <w:widowControl/>
              <w:spacing w:line="300" w:lineRule="exact"/>
              <w:jc w:val="center"/>
              <w:rPr>
                <w:rFonts w:ascii="宋体" w:hAnsi="宋体" w:cs="宋体"/>
                <w:szCs w:val="21"/>
              </w:rPr>
            </w:pPr>
            <w:r>
              <w:rPr>
                <w:rFonts w:ascii="宋体" w:hAnsi="宋体" w:cs="宋体"/>
                <w:color w:val="333333"/>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restart"/>
            <w:tcBorders>
              <w:top w:val="outset" w:color="auto" w:sz="6" w:space="0"/>
              <w:left w:val="single" w:color="auto" w:sz="0" w:space="0"/>
              <w:bottom w:val="outset" w:color="auto" w:sz="6" w:space="0"/>
              <w:right w:val="single" w:color="auto" w:sz="8" w:space="0"/>
            </w:tcBorders>
            <w:noWrap w:val="0"/>
            <w:vAlign w:val="center"/>
          </w:tcPr>
          <w:p>
            <w:pPr>
              <w:widowControl/>
              <w:spacing w:line="300" w:lineRule="exact"/>
              <w:jc w:val="left"/>
              <w:rPr>
                <w:rFonts w:ascii="宋体" w:hAnsi="宋体" w:cs="宋体"/>
                <w:szCs w:val="21"/>
              </w:rPr>
            </w:pPr>
            <w:r>
              <w:rPr>
                <w:rFonts w:hint="eastAsia" w:ascii="宋体" w:hAnsi="宋体" w:cs="宋体"/>
                <w:color w:val="333333"/>
                <w:kern w:val="0"/>
                <w:szCs w:val="21"/>
                <w:lang w:bidi="ar"/>
              </w:rPr>
              <w:t>（六）其他处理</w:t>
            </w:r>
          </w:p>
        </w:tc>
        <w:tc>
          <w:tcPr>
            <w:tcW w:w="2844" w:type="dxa"/>
            <w:tcBorders>
              <w:top w:val="single" w:color="auto" w:sz="0" w:space="0"/>
              <w:left w:val="single" w:color="auto" w:sz="0" w:space="0"/>
              <w:bottom w:val="single" w:color="auto" w:sz="8" w:space="0"/>
              <w:right w:val="single" w:color="auto" w:sz="8" w:space="0"/>
            </w:tcBorders>
            <w:noWrap w:val="0"/>
            <w:vAlign w:val="center"/>
          </w:tcPr>
          <w:p>
            <w:pPr>
              <w:widowControl/>
              <w:spacing w:line="300" w:lineRule="exact"/>
              <w:rPr>
                <w:rFonts w:ascii="宋体" w:hAnsi="宋体" w:cs="宋体"/>
                <w:szCs w:val="21"/>
              </w:rPr>
            </w:pPr>
            <w:r>
              <w:rPr>
                <w:rFonts w:hint="eastAsia" w:ascii="宋体" w:hAnsi="宋体" w:cs="宋体"/>
                <w:color w:val="333333"/>
                <w:kern w:val="0"/>
                <w:szCs w:val="21"/>
                <w:lang w:bidi="ar"/>
              </w:rPr>
              <w:t>1.申请人无正当理由逾期不补正、行政机关不再处理其政府信息公开申请</w:t>
            </w:r>
          </w:p>
        </w:tc>
        <w:tc>
          <w:tcPr>
            <w:tcW w:w="640"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ascii="宋体" w:hAnsi="宋体" w:cs="宋体"/>
                <w:color w:val="333333"/>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outset" w:color="auto" w:sz="6"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0" w:space="0"/>
              <w:left w:val="single" w:color="auto" w:sz="0" w:space="0"/>
              <w:bottom w:val="single" w:color="auto" w:sz="8" w:space="0"/>
              <w:right w:val="single" w:color="auto" w:sz="8" w:space="0"/>
            </w:tcBorders>
            <w:noWrap w:val="0"/>
            <w:vAlign w:val="center"/>
          </w:tcPr>
          <w:p>
            <w:pPr>
              <w:widowControl/>
              <w:spacing w:line="300" w:lineRule="exact"/>
              <w:rPr>
                <w:rFonts w:ascii="宋体" w:hAnsi="宋体" w:cs="宋体"/>
                <w:szCs w:val="21"/>
              </w:rPr>
            </w:pPr>
            <w:r>
              <w:rPr>
                <w:rFonts w:hint="eastAsia" w:ascii="宋体" w:hAnsi="宋体" w:cs="宋体"/>
                <w:color w:val="333333"/>
                <w:kern w:val="0"/>
                <w:szCs w:val="21"/>
                <w:lang w:bidi="ar"/>
              </w:rPr>
              <w:t>2.申请人逾期未按收费通知要求缴纳费用、行政机关不再处理其政府信息公开申请</w:t>
            </w:r>
          </w:p>
        </w:tc>
        <w:tc>
          <w:tcPr>
            <w:tcW w:w="640"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ascii="宋体" w:hAnsi="宋体" w:cs="宋体"/>
                <w:color w:val="333333"/>
                <w:kern w:val="0"/>
                <w:szCs w:val="21"/>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793" w:type="dxa"/>
            <w:vMerge w:val="continue"/>
            <w:tcBorders>
              <w:top w:val="outset" w:color="auto" w:sz="6" w:space="0"/>
              <w:left w:val="single" w:color="auto" w:sz="0"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2844" w:type="dxa"/>
            <w:tcBorders>
              <w:top w:val="single" w:color="auto" w:sz="0" w:space="0"/>
              <w:left w:val="single" w:color="auto" w:sz="0" w:space="0"/>
              <w:bottom w:val="single" w:color="auto" w:sz="8" w:space="0"/>
              <w:right w:val="single" w:color="auto" w:sz="8" w:space="0"/>
            </w:tcBorders>
            <w:noWrap w:val="0"/>
            <w:vAlign w:val="center"/>
          </w:tcPr>
          <w:p>
            <w:pPr>
              <w:widowControl/>
              <w:spacing w:line="300" w:lineRule="exact"/>
              <w:jc w:val="left"/>
              <w:rPr>
                <w:rFonts w:ascii="宋体" w:hAnsi="宋体" w:cs="宋体"/>
                <w:szCs w:val="21"/>
              </w:rPr>
            </w:pPr>
            <w:r>
              <w:rPr>
                <w:rFonts w:hint="eastAsia" w:ascii="宋体" w:hAnsi="宋体" w:cs="宋体"/>
                <w:color w:val="333333"/>
                <w:kern w:val="0"/>
                <w:szCs w:val="21"/>
                <w:lang w:bidi="ar"/>
              </w:rPr>
              <w:t>3.其他</w:t>
            </w:r>
          </w:p>
        </w:tc>
        <w:tc>
          <w:tcPr>
            <w:tcW w:w="640"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600" w:type="dxa"/>
            <w:tcBorders>
              <w:top w:val="nil"/>
              <w:left w:val="nil"/>
              <w:bottom w:val="single" w:color="auto" w:sz="8" w:space="0"/>
              <w:right w:val="single" w:color="auto" w:sz="8" w:space="0"/>
            </w:tcBorders>
            <w:noWrap w:val="0"/>
            <w:vAlign w:val="center"/>
          </w:tcPr>
          <w:p>
            <w:pPr>
              <w:widowControl/>
              <w:spacing w:line="300" w:lineRule="exact"/>
              <w:jc w:val="center"/>
              <w:rPr>
                <w:rFonts w:ascii="宋体" w:hAnsi="宋体" w:cs="宋体"/>
                <w:szCs w:val="21"/>
              </w:rPr>
            </w:pPr>
            <w:r>
              <w:rPr>
                <w:rFonts w:hint="eastAsia" w:ascii="宋体" w:hAnsi="宋体" w:cs="宋体"/>
                <w:color w:val="333333"/>
                <w:kern w:val="0"/>
                <w:szCs w:val="21"/>
                <w:lang w:bidi="ar"/>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hint="eastAsia" w:ascii="宋体" w:hAnsi="宋体" w:cs="宋体"/>
                <w:szCs w:val="21"/>
              </w:rPr>
            </w:pPr>
            <w:r>
              <w:rPr>
                <w:rFonts w:hint="eastAsia" w:ascii="宋体" w:hAnsi="宋体" w:cs="宋体"/>
                <w:szCs w:val="21"/>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654" w:type="dxa"/>
            <w:vMerge w:val="continue"/>
            <w:tcBorders>
              <w:top w:val="single" w:color="auto" w:sz="0" w:space="0"/>
              <w:left w:val="single" w:color="auto" w:sz="8" w:space="0"/>
              <w:bottom w:val="outset" w:color="auto" w:sz="6" w:space="0"/>
              <w:right w:val="single" w:color="auto" w:sz="8" w:space="0"/>
            </w:tcBorders>
            <w:noWrap w:val="0"/>
            <w:vAlign w:val="center"/>
          </w:tcPr>
          <w:p>
            <w:pPr>
              <w:spacing w:line="300" w:lineRule="exact"/>
              <w:jc w:val="left"/>
              <w:rPr>
                <w:rFonts w:ascii="宋体" w:hAnsi="宋体" w:cs="宋体"/>
                <w:color w:val="333333"/>
                <w:szCs w:val="21"/>
              </w:rPr>
            </w:pPr>
          </w:p>
        </w:tc>
        <w:tc>
          <w:tcPr>
            <w:tcW w:w="3637" w:type="dxa"/>
            <w:gridSpan w:val="2"/>
            <w:tcBorders>
              <w:top w:val="single" w:color="auto" w:sz="0" w:space="0"/>
              <w:left w:val="single" w:color="auto" w:sz="0" w:space="0"/>
              <w:bottom w:val="single" w:color="auto" w:sz="8" w:space="0"/>
              <w:right w:val="single" w:color="auto" w:sz="8" w:space="0"/>
            </w:tcBorders>
            <w:noWrap w:val="0"/>
            <w:vAlign w:val="center"/>
          </w:tcPr>
          <w:p>
            <w:pPr>
              <w:widowControl/>
              <w:spacing w:line="300" w:lineRule="exact"/>
              <w:jc w:val="left"/>
              <w:rPr>
                <w:rFonts w:ascii="宋体" w:hAnsi="宋体" w:cs="宋体"/>
                <w:szCs w:val="21"/>
              </w:rPr>
            </w:pPr>
            <w:r>
              <w:rPr>
                <w:rFonts w:hint="eastAsia" w:ascii="宋体" w:hAnsi="宋体" w:cs="宋体"/>
                <w:color w:val="333333"/>
                <w:kern w:val="0"/>
                <w:szCs w:val="21"/>
                <w:lang w:bidi="ar"/>
              </w:rPr>
              <w:t>（七）总计</w:t>
            </w:r>
          </w:p>
        </w:tc>
        <w:tc>
          <w:tcPr>
            <w:tcW w:w="640" w:type="dxa"/>
            <w:tcBorders>
              <w:top w:val="nil"/>
              <w:left w:val="nil"/>
              <w:bottom w:val="single" w:color="auto" w:sz="8" w:space="0"/>
              <w:right w:val="single" w:color="auto" w:sz="8" w:space="0"/>
            </w:tcBorders>
            <w:noWrap w:val="0"/>
            <w:vAlign w:val="center"/>
          </w:tcPr>
          <w:p>
            <w:pPr>
              <w:widowControl/>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181</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eastAsia="宋体" w:cs="宋体"/>
                <w:szCs w:val="21"/>
                <w:lang w:val="en-US" w:eastAsia="zh-CN"/>
              </w:rPr>
            </w:pPr>
            <w:r>
              <w:rPr>
                <w:rFonts w:hint="eastAsia" w:ascii="宋体" w:hAnsi="宋体" w:cs="宋体"/>
                <w:szCs w:val="21"/>
                <w:lang w:val="en-US" w:eastAsia="zh-CN"/>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0</w:t>
            </w:r>
          </w:p>
        </w:tc>
        <w:tc>
          <w:tcPr>
            <w:tcW w:w="600"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0</w:t>
            </w:r>
          </w:p>
        </w:tc>
        <w:tc>
          <w:tcPr>
            <w:tcW w:w="582" w:type="dxa"/>
            <w:tcBorders>
              <w:top w:val="nil"/>
              <w:left w:val="nil"/>
              <w:bottom w:val="single" w:color="auto" w:sz="8" w:space="0"/>
              <w:right w:val="single" w:color="auto" w:sz="8" w:space="0"/>
            </w:tcBorders>
            <w:noWrap w:val="0"/>
            <w:vAlign w:val="top"/>
          </w:tcPr>
          <w:p>
            <w:pPr>
              <w:widowControl/>
              <w:spacing w:line="300" w:lineRule="exact"/>
              <w:jc w:val="center"/>
              <w:rPr>
                <w:rFonts w:hint="default" w:ascii="宋体" w:hAnsi="宋体" w:eastAsia="宋体" w:cs="宋体"/>
                <w:szCs w:val="21"/>
                <w:lang w:val="en-US" w:eastAsia="zh-CN"/>
              </w:rPr>
            </w:pPr>
            <w:r>
              <w:rPr>
                <w:rFonts w:hint="eastAsia" w:ascii="宋体" w:hAnsi="宋体" w:cs="宋体"/>
                <w:szCs w:val="21"/>
                <w:lang w:val="en-US" w:eastAsia="zh-CN"/>
              </w:rPr>
              <w:t>181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57" w:type="dxa"/>
            <w:bottom w:w="0" w:type="dxa"/>
            <w:right w:w="57" w:type="dxa"/>
          </w:tblCellMar>
        </w:tblPrEx>
        <w:trPr>
          <w:jc w:val="center"/>
        </w:trPr>
        <w:tc>
          <w:tcPr>
            <w:tcW w:w="4291" w:type="dxa"/>
            <w:gridSpan w:val="3"/>
            <w:tcBorders>
              <w:top w:val="nil"/>
              <w:left w:val="single" w:color="auto" w:sz="8" w:space="0"/>
              <w:bottom w:val="single" w:color="auto" w:sz="8" w:space="0"/>
              <w:right w:val="single" w:color="auto" w:sz="8" w:space="0"/>
            </w:tcBorders>
            <w:noWrap w:val="0"/>
            <w:vAlign w:val="center"/>
          </w:tcPr>
          <w:p>
            <w:pPr>
              <w:widowControl/>
              <w:spacing w:line="300" w:lineRule="exact"/>
              <w:jc w:val="left"/>
              <w:rPr>
                <w:rFonts w:ascii="宋体" w:hAnsi="宋体" w:cs="宋体"/>
                <w:szCs w:val="21"/>
              </w:rPr>
            </w:pPr>
            <w:r>
              <w:rPr>
                <w:rFonts w:hint="eastAsia" w:ascii="宋体" w:hAnsi="宋体" w:cs="宋体"/>
                <w:color w:val="333333"/>
                <w:kern w:val="0"/>
                <w:szCs w:val="21"/>
                <w:lang w:bidi="ar"/>
              </w:rPr>
              <w:t>四、结转下年度继续办理</w:t>
            </w:r>
          </w:p>
        </w:tc>
        <w:tc>
          <w:tcPr>
            <w:tcW w:w="640"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0</w:t>
            </w:r>
          </w:p>
        </w:tc>
        <w:tc>
          <w:tcPr>
            <w:tcW w:w="589"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0</w:t>
            </w:r>
          </w:p>
        </w:tc>
        <w:tc>
          <w:tcPr>
            <w:tcW w:w="600" w:type="dxa"/>
            <w:tcBorders>
              <w:top w:val="nil"/>
              <w:left w:val="nil"/>
              <w:bottom w:val="single" w:color="auto" w:sz="8" w:space="0"/>
              <w:right w:val="single" w:color="auto" w:sz="8" w:space="0"/>
            </w:tcBorders>
            <w:noWrap w:val="0"/>
            <w:vAlign w:val="center"/>
          </w:tcPr>
          <w:p>
            <w:pPr>
              <w:widowControl/>
              <w:spacing w:line="300" w:lineRule="exact"/>
              <w:jc w:val="center"/>
              <w:rPr>
                <w:rFonts w:hint="eastAsia" w:ascii="宋体" w:hAnsi="宋体" w:cs="宋体"/>
                <w:szCs w:val="21"/>
              </w:rPr>
            </w:pPr>
            <w:r>
              <w:rPr>
                <w:rFonts w:hint="eastAsia" w:ascii="宋体" w:hAnsi="宋体" w:cs="宋体"/>
                <w:szCs w:val="21"/>
              </w:rPr>
              <w:t>0</w:t>
            </w:r>
          </w:p>
        </w:tc>
        <w:tc>
          <w:tcPr>
            <w:tcW w:w="582" w:type="dxa"/>
            <w:tcBorders>
              <w:top w:val="nil"/>
              <w:left w:val="nil"/>
              <w:bottom w:val="single" w:color="auto" w:sz="8" w:space="0"/>
              <w:right w:val="single" w:color="auto" w:sz="8" w:space="0"/>
            </w:tcBorders>
            <w:noWrap w:val="0"/>
            <w:vAlign w:val="top"/>
          </w:tcPr>
          <w:p>
            <w:pPr>
              <w:spacing w:line="300" w:lineRule="exact"/>
              <w:jc w:val="center"/>
              <w:rPr>
                <w:rFonts w:hint="eastAsia" w:ascii="宋体" w:hAnsi="宋体" w:cs="宋体"/>
                <w:color w:val="333333"/>
                <w:szCs w:val="21"/>
              </w:rPr>
            </w:pPr>
            <w:r>
              <w:rPr>
                <w:rFonts w:hint="eastAsia" w:ascii="宋体" w:hAnsi="宋体" w:cs="宋体"/>
                <w:color w:val="333333"/>
                <w:szCs w:val="21"/>
              </w:rPr>
              <w:t>0</w:t>
            </w:r>
          </w:p>
        </w:tc>
      </w:tr>
    </w:tbl>
    <w:p>
      <w:pPr>
        <w:widowControl/>
        <w:spacing w:line="432" w:lineRule="auto"/>
        <w:jc w:val="center"/>
        <w:rPr>
          <w:rFonts w:ascii="宋体" w:hAnsi="宋体" w:cs="宋体"/>
          <w:color w:val="333333"/>
          <w:sz w:val="24"/>
        </w:rPr>
      </w:pPr>
    </w:p>
    <w:p>
      <w:pPr>
        <w:pStyle w:val="2"/>
        <w:widowControl/>
        <w:spacing w:line="360" w:lineRule="auto"/>
        <w:ind w:firstLine="640" w:firstLineChars="200"/>
        <w:jc w:val="both"/>
        <w:rPr>
          <w:rFonts w:hint="eastAsia" w:ascii="黑体" w:hAnsi="黑体" w:eastAsia="黑体" w:cs="黑体"/>
          <w:color w:val="333333"/>
          <w:sz w:val="32"/>
          <w:szCs w:val="32"/>
        </w:rPr>
      </w:pPr>
      <w:r>
        <w:rPr>
          <w:rFonts w:hint="eastAsia" w:ascii="黑体" w:hAnsi="黑体" w:eastAsia="黑体" w:cs="黑体"/>
          <w:color w:val="333333"/>
          <w:sz w:val="32"/>
          <w:szCs w:val="32"/>
        </w:rPr>
        <w:t>四、政府信息公开行政复议、行政诉讼情况</w:t>
      </w:r>
    </w:p>
    <w:p>
      <w:pPr>
        <w:pStyle w:val="2"/>
        <w:widowControl/>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2025年收到信息公开的行政复议案件4件，其中1件申请人撤回复议申请，两件维持，1件还在审理过程中；2025年没有收到信息公开的行政诉讼案件。</w:t>
      </w:r>
    </w:p>
    <w:tbl>
      <w:tblPr>
        <w:tblStyle w:val="3"/>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67"/>
        <w:gridCol w:w="566"/>
        <w:gridCol w:w="566"/>
        <w:gridCol w:w="578"/>
        <w:gridCol w:w="566"/>
        <w:gridCol w:w="566"/>
        <w:gridCol w:w="567"/>
        <w:gridCol w:w="567"/>
        <w:gridCol w:w="573"/>
        <w:gridCol w:w="567"/>
        <w:gridCol w:w="567"/>
        <w:gridCol w:w="567"/>
        <w:gridCol w:w="568"/>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44" w:type="dxa"/>
            <w:gridSpan w:val="5"/>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行政复议</w:t>
            </w:r>
          </w:p>
        </w:tc>
        <w:tc>
          <w:tcPr>
            <w:tcW w:w="5676" w:type="dxa"/>
            <w:gridSpan w:val="10"/>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restart"/>
            <w:tcBorders>
              <w:top w:val="nil"/>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结果维持</w:t>
            </w:r>
          </w:p>
        </w:tc>
        <w:tc>
          <w:tcPr>
            <w:tcW w:w="567" w:type="dxa"/>
            <w:vMerge w:val="restart"/>
            <w:tcBorders>
              <w:top w:val="nil"/>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结果</w:t>
            </w:r>
            <w:r>
              <w:rPr>
                <w:rFonts w:hint="eastAsia" w:ascii="宋体" w:hAnsi="宋体" w:cs="宋体"/>
                <w:color w:val="333333"/>
                <w:kern w:val="0"/>
                <w:sz w:val="20"/>
                <w:szCs w:val="20"/>
                <w:lang w:bidi="ar"/>
              </w:rPr>
              <w:br w:type="textWrapping"/>
            </w:r>
            <w:r>
              <w:rPr>
                <w:rFonts w:hint="eastAsia" w:ascii="宋体" w:hAnsi="宋体" w:cs="宋体"/>
                <w:color w:val="333333"/>
                <w:kern w:val="0"/>
                <w:sz w:val="20"/>
                <w:szCs w:val="20"/>
                <w:lang w:bidi="ar"/>
              </w:rPr>
              <w:t>纠正</w:t>
            </w:r>
          </w:p>
        </w:tc>
        <w:tc>
          <w:tcPr>
            <w:tcW w:w="5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其他</w:t>
            </w:r>
            <w:r>
              <w:rPr>
                <w:rFonts w:hint="eastAsia" w:ascii="宋体" w:hAnsi="宋体" w:cs="宋体"/>
                <w:color w:val="333333"/>
                <w:kern w:val="0"/>
                <w:sz w:val="20"/>
                <w:szCs w:val="20"/>
                <w:lang w:bidi="ar"/>
              </w:rPr>
              <w:br w:type="textWrapping"/>
            </w:r>
            <w:r>
              <w:rPr>
                <w:rFonts w:hint="eastAsia" w:ascii="宋体" w:hAnsi="宋体" w:cs="宋体"/>
                <w:color w:val="333333"/>
                <w:kern w:val="0"/>
                <w:sz w:val="20"/>
                <w:szCs w:val="20"/>
                <w:lang w:bidi="ar"/>
              </w:rPr>
              <w:t>结果</w:t>
            </w:r>
          </w:p>
        </w:tc>
        <w:tc>
          <w:tcPr>
            <w:tcW w:w="56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尚未</w:t>
            </w:r>
            <w:r>
              <w:rPr>
                <w:rFonts w:hint="eastAsia" w:ascii="宋体" w:hAnsi="宋体" w:cs="宋体"/>
                <w:color w:val="333333"/>
                <w:kern w:val="0"/>
                <w:sz w:val="20"/>
                <w:szCs w:val="20"/>
                <w:lang w:bidi="ar"/>
              </w:rPr>
              <w:br w:type="textWrapping"/>
            </w:r>
            <w:r>
              <w:rPr>
                <w:rFonts w:hint="eastAsia" w:ascii="宋体" w:hAnsi="宋体" w:cs="宋体"/>
                <w:color w:val="333333"/>
                <w:kern w:val="0"/>
                <w:sz w:val="20"/>
                <w:szCs w:val="20"/>
                <w:lang w:bidi="ar"/>
              </w:rPr>
              <w:t>审结</w:t>
            </w:r>
          </w:p>
        </w:tc>
        <w:tc>
          <w:tcPr>
            <w:tcW w:w="5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总计</w:t>
            </w:r>
          </w:p>
        </w:tc>
        <w:tc>
          <w:tcPr>
            <w:tcW w:w="2839" w:type="dxa"/>
            <w:gridSpan w:val="5"/>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未经复议直接起诉</w:t>
            </w:r>
          </w:p>
        </w:tc>
        <w:tc>
          <w:tcPr>
            <w:tcW w:w="2837" w:type="dxa"/>
            <w:gridSpan w:val="5"/>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67"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color w:val="333333"/>
                <w:szCs w:val="21"/>
              </w:rPr>
            </w:pPr>
          </w:p>
        </w:tc>
        <w:tc>
          <w:tcPr>
            <w:tcW w:w="567" w:type="dxa"/>
            <w:vMerge w:val="continue"/>
            <w:tcBorders>
              <w:top w:val="nil"/>
              <w:left w:val="single" w:color="auto" w:sz="4" w:space="0"/>
              <w:bottom w:val="single" w:color="auto" w:sz="4" w:space="0"/>
              <w:right w:val="single" w:color="auto" w:sz="4" w:space="0"/>
            </w:tcBorders>
            <w:vAlign w:val="center"/>
          </w:tcPr>
          <w:p>
            <w:pPr>
              <w:jc w:val="left"/>
              <w:rPr>
                <w:rFonts w:ascii="宋体" w:hAnsi="宋体" w:cs="宋体"/>
                <w:color w:val="333333"/>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333333"/>
                <w:szCs w:val="21"/>
              </w:rPr>
            </w:pPr>
          </w:p>
        </w:tc>
        <w:tc>
          <w:tcPr>
            <w:tcW w:w="566"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333333"/>
                <w:szCs w:val="21"/>
              </w:rPr>
            </w:pPr>
          </w:p>
        </w:tc>
        <w:tc>
          <w:tcPr>
            <w:tcW w:w="57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333333"/>
                <w:szCs w:val="21"/>
              </w:rPr>
            </w:pPr>
          </w:p>
        </w:tc>
        <w:tc>
          <w:tcPr>
            <w:tcW w:w="566"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结果</w:t>
            </w:r>
            <w:r>
              <w:rPr>
                <w:rFonts w:hint="eastAsia" w:ascii="宋体" w:hAnsi="宋体" w:cs="宋体"/>
                <w:color w:val="333333"/>
                <w:kern w:val="0"/>
                <w:sz w:val="20"/>
                <w:szCs w:val="20"/>
                <w:lang w:bidi="ar"/>
              </w:rPr>
              <w:br w:type="textWrapping"/>
            </w:r>
            <w:r>
              <w:rPr>
                <w:rFonts w:hint="eastAsia" w:ascii="宋体" w:hAnsi="宋体" w:cs="宋体"/>
                <w:color w:val="333333"/>
                <w:kern w:val="0"/>
                <w:sz w:val="20"/>
                <w:szCs w:val="20"/>
                <w:lang w:bidi="ar"/>
              </w:rPr>
              <w:t>维持</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结果</w:t>
            </w:r>
            <w:r>
              <w:rPr>
                <w:rFonts w:hint="eastAsia" w:ascii="宋体" w:hAnsi="宋体" w:cs="宋体"/>
                <w:color w:val="333333"/>
                <w:kern w:val="0"/>
                <w:sz w:val="20"/>
                <w:szCs w:val="20"/>
                <w:lang w:bidi="ar"/>
              </w:rPr>
              <w:br w:type="textWrapping"/>
            </w:r>
            <w:r>
              <w:rPr>
                <w:rFonts w:hint="eastAsia" w:ascii="宋体" w:hAnsi="宋体" w:cs="宋体"/>
                <w:color w:val="333333"/>
                <w:kern w:val="0"/>
                <w:sz w:val="20"/>
                <w:szCs w:val="20"/>
                <w:lang w:bidi="ar"/>
              </w:rPr>
              <w:t>纠正</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其他</w:t>
            </w:r>
            <w:r>
              <w:rPr>
                <w:rFonts w:hint="eastAsia" w:ascii="宋体" w:hAnsi="宋体" w:cs="宋体"/>
                <w:color w:val="333333"/>
                <w:kern w:val="0"/>
                <w:sz w:val="20"/>
                <w:szCs w:val="20"/>
                <w:lang w:bidi="ar"/>
              </w:rPr>
              <w:br w:type="textWrapping"/>
            </w:r>
            <w:r>
              <w:rPr>
                <w:rFonts w:hint="eastAsia" w:ascii="宋体" w:hAnsi="宋体" w:cs="宋体"/>
                <w:color w:val="333333"/>
                <w:kern w:val="0"/>
                <w:sz w:val="20"/>
                <w:szCs w:val="20"/>
                <w:lang w:bidi="ar"/>
              </w:rPr>
              <w:t>结果</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尚未</w:t>
            </w:r>
            <w:r>
              <w:rPr>
                <w:rFonts w:hint="eastAsia" w:ascii="宋体" w:hAnsi="宋体" w:cs="宋体"/>
                <w:color w:val="333333"/>
                <w:kern w:val="0"/>
                <w:sz w:val="20"/>
                <w:szCs w:val="20"/>
                <w:lang w:bidi="ar"/>
              </w:rPr>
              <w:br w:type="textWrapping"/>
            </w:r>
            <w:r>
              <w:rPr>
                <w:rFonts w:hint="eastAsia" w:ascii="宋体" w:hAnsi="宋体" w:cs="宋体"/>
                <w:color w:val="333333"/>
                <w:kern w:val="0"/>
                <w:sz w:val="20"/>
                <w:szCs w:val="20"/>
                <w:lang w:bidi="ar"/>
              </w:rPr>
              <w:t>审结</w:t>
            </w:r>
          </w:p>
        </w:tc>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000000"/>
                <w:kern w:val="0"/>
                <w:sz w:val="20"/>
                <w:szCs w:val="20"/>
                <w:lang w:bidi="ar"/>
              </w:rPr>
              <w:t>总计</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结果</w:t>
            </w:r>
            <w:r>
              <w:rPr>
                <w:rFonts w:hint="eastAsia" w:ascii="宋体" w:hAnsi="宋体" w:cs="宋体"/>
                <w:color w:val="333333"/>
                <w:kern w:val="0"/>
                <w:sz w:val="20"/>
                <w:szCs w:val="20"/>
                <w:lang w:bidi="ar"/>
              </w:rPr>
              <w:br w:type="textWrapping"/>
            </w:r>
            <w:r>
              <w:rPr>
                <w:rFonts w:hint="eastAsia" w:ascii="宋体" w:hAnsi="宋体" w:cs="宋体"/>
                <w:color w:val="333333"/>
                <w:kern w:val="0"/>
                <w:sz w:val="20"/>
                <w:szCs w:val="20"/>
                <w:lang w:bidi="ar"/>
              </w:rPr>
              <w:t>维持</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结果</w:t>
            </w:r>
            <w:r>
              <w:rPr>
                <w:rFonts w:hint="eastAsia" w:ascii="宋体" w:hAnsi="宋体" w:cs="宋体"/>
                <w:color w:val="333333"/>
                <w:kern w:val="0"/>
                <w:sz w:val="20"/>
                <w:szCs w:val="20"/>
                <w:lang w:bidi="ar"/>
              </w:rPr>
              <w:br w:type="textWrapping"/>
            </w:r>
            <w:r>
              <w:rPr>
                <w:rFonts w:hint="eastAsia" w:ascii="宋体" w:hAnsi="宋体" w:cs="宋体"/>
                <w:color w:val="333333"/>
                <w:kern w:val="0"/>
                <w:sz w:val="20"/>
                <w:szCs w:val="20"/>
                <w:lang w:bidi="ar"/>
              </w:rPr>
              <w:t>纠正</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333333"/>
                <w:kern w:val="0"/>
                <w:sz w:val="20"/>
                <w:szCs w:val="20"/>
                <w:lang w:bidi="ar"/>
              </w:rPr>
              <w:t>尚未</w:t>
            </w:r>
            <w:r>
              <w:rPr>
                <w:rFonts w:hint="eastAsia" w:ascii="宋体" w:hAnsi="宋体" w:cs="宋体"/>
                <w:color w:val="333333"/>
                <w:kern w:val="0"/>
                <w:sz w:val="20"/>
                <w:szCs w:val="20"/>
                <w:lang w:bidi="ar"/>
              </w:rPr>
              <w:br w:type="textWrapping"/>
            </w:r>
            <w:r>
              <w:rPr>
                <w:rFonts w:hint="eastAsia" w:ascii="宋体" w:hAnsi="宋体" w:cs="宋体"/>
                <w:color w:val="333333"/>
                <w:kern w:val="0"/>
                <w:sz w:val="20"/>
                <w:szCs w:val="20"/>
                <w:lang w:bidi="ar"/>
              </w:rPr>
              <w:t>审结</w:t>
            </w:r>
          </w:p>
        </w:tc>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宋体" w:hAnsi="宋体" w:cs="宋体"/>
                <w:color w:val="000000"/>
                <w:kern w:val="0"/>
                <w:sz w:val="20"/>
                <w:szCs w:val="20"/>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2"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ascii="黑体" w:hAnsi="宋体" w:eastAsia="黑体" w:cs="黑体"/>
                <w:color w:val="333333"/>
                <w:sz w:val="20"/>
                <w:szCs w:val="20"/>
                <w:lang w:bidi="ar"/>
              </w:rPr>
              <w:t>2</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ascii="黑体" w:hAnsi="宋体" w:eastAsia="黑体" w:cs="黑体"/>
                <w:color w:val="333333"/>
                <w:sz w:val="20"/>
                <w:szCs w:val="20"/>
                <w:lang w:bidi="ar"/>
              </w:rPr>
              <w:t>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ascii="黑体" w:hAnsi="宋体" w:eastAsia="黑体" w:cs="黑体"/>
                <w:color w:val="333333"/>
                <w:sz w:val="20"/>
                <w:szCs w:val="20"/>
                <w:lang w:bidi="ar"/>
              </w:rPr>
              <w:t>1</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t>1</w:t>
            </w:r>
          </w:p>
        </w:tc>
        <w:tc>
          <w:tcPr>
            <w:tcW w:w="578"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rPr>
              <w:t>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rPr>
              <w:t>0</w:t>
            </w:r>
          </w:p>
        </w:tc>
        <w:tc>
          <w:tcPr>
            <w:tcW w:w="566"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ascii="黑体" w:hAnsi="宋体" w:eastAsia="黑体" w:cs="黑体"/>
                <w:color w:val="333333"/>
                <w:sz w:val="20"/>
                <w:szCs w:val="20"/>
                <w:lang w:bidi="ar"/>
              </w:rPr>
              <w:t>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ascii="黑体" w:hAnsi="宋体" w:eastAsia="黑体" w:cs="黑体"/>
                <w:color w:val="333333"/>
                <w:sz w:val="20"/>
                <w:szCs w:val="20"/>
                <w:lang w:bidi="ar"/>
              </w:rPr>
              <w:t>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rPr>
              <w:t>0</w:t>
            </w:r>
          </w:p>
        </w:tc>
        <w:tc>
          <w:tcPr>
            <w:tcW w:w="573"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rPr>
              <w:t>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rPr>
              <w:t>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黑体" w:hAnsi="宋体" w:eastAsia="黑体" w:cs="黑体"/>
                <w:color w:val="333333"/>
                <w:sz w:val="20"/>
                <w:szCs w:val="20"/>
                <w:lang w:bidi="ar"/>
              </w:rPr>
              <w:t>0</w:t>
            </w:r>
          </w:p>
        </w:tc>
        <w:tc>
          <w:tcPr>
            <w:tcW w:w="567"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ascii="黑体" w:hAnsi="宋体" w:eastAsia="黑体" w:cs="黑体"/>
                <w:color w:val="333333"/>
                <w:sz w:val="20"/>
                <w:szCs w:val="20"/>
                <w:lang w:bidi="ar"/>
              </w:rPr>
              <w:t>0</w:t>
            </w:r>
          </w:p>
        </w:tc>
        <w:tc>
          <w:tcPr>
            <w:tcW w:w="568" w:type="dxa"/>
            <w:tcBorders>
              <w:top w:val="single" w:color="auto" w:sz="4" w:space="0"/>
              <w:left w:val="single" w:color="auto" w:sz="4" w:space="0"/>
              <w:bottom w:val="single" w:color="auto" w:sz="4" w:space="0"/>
              <w:right w:val="single" w:color="auto" w:sz="4" w:space="0"/>
            </w:tcBorders>
            <w:vAlign w:val="center"/>
          </w:tcPr>
          <w:p>
            <w:pPr>
              <w:widowControl/>
              <w:spacing w:line="30" w:lineRule="atLeast"/>
              <w:jc w:val="center"/>
            </w:pPr>
            <w:r>
              <w:rPr>
                <w:rFonts w:hint="eastAsia"/>
              </w:rPr>
              <w:t>0</w:t>
            </w:r>
          </w:p>
        </w:tc>
        <w:tc>
          <w:tcPr>
            <w:tcW w:w="5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333333"/>
                <w:szCs w:val="21"/>
              </w:rPr>
            </w:pPr>
            <w:r>
              <w:rPr>
                <w:rFonts w:hint="eastAsia" w:ascii="宋体" w:hAnsi="宋体" w:cs="宋体"/>
                <w:color w:val="333333"/>
                <w:szCs w:val="21"/>
              </w:rPr>
              <w:t>0</w:t>
            </w:r>
          </w:p>
        </w:tc>
      </w:tr>
    </w:tbl>
    <w:p>
      <w:pPr>
        <w:widowControl/>
        <w:jc w:val="left"/>
      </w:pPr>
    </w:p>
    <w:p>
      <w:pPr>
        <w:pStyle w:val="2"/>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五、存在的主要问题及改进情况</w:t>
      </w:r>
    </w:p>
    <w:p>
      <w:pPr>
        <w:pStyle w:val="2"/>
        <w:widowControl/>
        <w:spacing w:line="560" w:lineRule="exact"/>
        <w:ind w:firstLine="640" w:firstLineChars="200"/>
        <w:rPr>
          <w:rFonts w:ascii="仿宋" w:hAnsi="仿宋" w:eastAsia="仿宋" w:cs="仿宋"/>
          <w:sz w:val="32"/>
          <w:szCs w:val="32"/>
          <w:highlight w:val="none"/>
        </w:rPr>
      </w:pPr>
      <w:r>
        <w:rPr>
          <w:rFonts w:ascii="仿宋_GB2312" w:hAnsi="微软雅黑" w:eastAsia="仿宋_GB2312" w:cs="仿宋_GB2312"/>
          <w:i w:val="0"/>
          <w:iCs w:val="0"/>
          <w:caps w:val="0"/>
          <w:color w:val="333333"/>
          <w:spacing w:val="0"/>
          <w:sz w:val="32"/>
          <w:szCs w:val="32"/>
          <w:highlight w:val="none"/>
          <w:shd w:val="clear" w:color="auto" w:fill="FFFFFF"/>
        </w:rPr>
        <w:t>202</w:t>
      </w:r>
      <w:r>
        <w:rPr>
          <w:rFonts w:hint="eastAsia" w:ascii="仿宋_GB2312" w:hAnsi="微软雅黑" w:eastAsia="仿宋_GB2312" w:cs="仿宋_GB2312"/>
          <w:i w:val="0"/>
          <w:iCs w:val="0"/>
          <w:caps w:val="0"/>
          <w:color w:val="333333"/>
          <w:spacing w:val="0"/>
          <w:sz w:val="32"/>
          <w:szCs w:val="32"/>
          <w:highlight w:val="none"/>
          <w:shd w:val="clear" w:color="auto" w:fill="FFFFFF"/>
          <w:lang w:val="en-US" w:eastAsia="zh-CN"/>
        </w:rPr>
        <w:t>5</w:t>
      </w:r>
      <w:r>
        <w:rPr>
          <w:rFonts w:hint="eastAsia" w:ascii="仿宋_GB2312" w:hAnsi="宋体" w:eastAsia="仿宋_GB2312" w:cs="仿宋_GB2312"/>
          <w:i w:val="0"/>
          <w:iCs w:val="0"/>
          <w:caps w:val="0"/>
          <w:color w:val="333333"/>
          <w:spacing w:val="0"/>
          <w:sz w:val="32"/>
          <w:szCs w:val="32"/>
          <w:highlight w:val="none"/>
          <w:shd w:val="clear" w:color="auto" w:fill="FFFFFF"/>
        </w:rPr>
        <w:t>年</w:t>
      </w:r>
      <w:r>
        <w:rPr>
          <w:rFonts w:hint="eastAsia" w:ascii="仿宋_GB2312" w:hAnsi="宋体" w:eastAsia="仿宋_GB2312" w:cs="仿宋_GB2312"/>
          <w:i w:val="0"/>
          <w:iCs w:val="0"/>
          <w:caps w:val="0"/>
          <w:color w:val="333333"/>
          <w:spacing w:val="0"/>
          <w:sz w:val="32"/>
          <w:szCs w:val="32"/>
          <w:highlight w:val="none"/>
          <w:shd w:val="clear" w:color="auto" w:fill="FFFFFF"/>
          <w:lang w:eastAsia="zh-CN"/>
        </w:rPr>
        <w:t>，</w:t>
      </w:r>
      <w:r>
        <w:rPr>
          <w:rFonts w:hint="eastAsia" w:ascii="仿宋_GB2312" w:hAnsi="宋体" w:eastAsia="仿宋_GB2312" w:cs="仿宋_GB2312"/>
          <w:i w:val="0"/>
          <w:iCs w:val="0"/>
          <w:caps w:val="0"/>
          <w:color w:val="333333"/>
          <w:spacing w:val="0"/>
          <w:sz w:val="32"/>
          <w:szCs w:val="32"/>
          <w:highlight w:val="none"/>
          <w:shd w:val="clear" w:color="auto" w:fill="FFFFFF"/>
          <w:lang w:val="en-US" w:eastAsia="zh-CN"/>
        </w:rPr>
        <w:t>局</w:t>
      </w:r>
      <w:r>
        <w:rPr>
          <w:rFonts w:hint="eastAsia" w:ascii="仿宋_GB2312" w:hAnsi="宋体" w:eastAsia="仿宋_GB2312" w:cs="仿宋_GB2312"/>
          <w:i w:val="0"/>
          <w:iCs w:val="0"/>
          <w:caps w:val="0"/>
          <w:color w:val="333333"/>
          <w:spacing w:val="0"/>
          <w:sz w:val="32"/>
          <w:szCs w:val="32"/>
          <w:highlight w:val="none"/>
          <w:shd w:val="clear" w:color="auto" w:fill="FFFFFF"/>
        </w:rPr>
        <w:t>政务公开工作存在</w:t>
      </w:r>
      <w:r>
        <w:rPr>
          <w:rFonts w:ascii="仿宋_GB2312" w:hAnsi="宋体" w:eastAsia="仿宋_GB2312" w:cs="仿宋_GB2312"/>
          <w:i w:val="0"/>
          <w:iCs w:val="0"/>
          <w:caps w:val="0"/>
          <w:color w:val="333333"/>
          <w:spacing w:val="0"/>
          <w:sz w:val="32"/>
          <w:szCs w:val="32"/>
          <w:highlight w:val="none"/>
          <w:shd w:val="clear" w:color="auto" w:fill="FFFFFF"/>
        </w:rPr>
        <w:t>信息公开</w:t>
      </w:r>
      <w:r>
        <w:rPr>
          <w:rFonts w:hint="eastAsia" w:ascii="仿宋_GB2312" w:hAnsi="宋体" w:eastAsia="仿宋_GB2312" w:cs="仿宋_GB2312"/>
          <w:i w:val="0"/>
          <w:iCs w:val="0"/>
          <w:caps w:val="0"/>
          <w:color w:val="333333"/>
          <w:spacing w:val="0"/>
          <w:sz w:val="32"/>
          <w:szCs w:val="32"/>
          <w:highlight w:val="none"/>
          <w:shd w:val="clear" w:color="auto" w:fill="FFFFFF"/>
          <w:lang w:val="en-US" w:eastAsia="zh-CN"/>
        </w:rPr>
        <w:t>更新</w:t>
      </w:r>
      <w:r>
        <w:rPr>
          <w:rFonts w:hint="eastAsia" w:ascii="仿宋" w:hAnsi="仿宋" w:eastAsia="仿宋" w:cs="仿宋"/>
          <w:sz w:val="32"/>
          <w:szCs w:val="32"/>
          <w:highlight w:val="none"/>
          <w:lang w:val="en-US" w:eastAsia="zh-CN"/>
        </w:rPr>
        <w:t>不够及时等问题，下一步将</w:t>
      </w:r>
      <w:r>
        <w:rPr>
          <w:rFonts w:ascii="仿宋_GB2312" w:hAnsi="宋体" w:eastAsia="仿宋_GB2312" w:cs="仿宋_GB2312"/>
          <w:i w:val="0"/>
          <w:iCs w:val="0"/>
          <w:caps w:val="0"/>
          <w:color w:val="333333"/>
          <w:spacing w:val="0"/>
          <w:sz w:val="32"/>
          <w:szCs w:val="32"/>
          <w:highlight w:val="none"/>
          <w:shd w:val="clear" w:color="auto" w:fill="FFFFFF"/>
        </w:rPr>
        <w:t>加大政务公开</w:t>
      </w:r>
      <w:r>
        <w:rPr>
          <w:rFonts w:hint="eastAsia" w:ascii="仿宋_GB2312" w:hAnsi="宋体" w:eastAsia="仿宋_GB2312" w:cs="仿宋_GB2312"/>
          <w:i w:val="0"/>
          <w:iCs w:val="0"/>
          <w:caps w:val="0"/>
          <w:color w:val="333333"/>
          <w:spacing w:val="0"/>
          <w:sz w:val="32"/>
          <w:szCs w:val="32"/>
          <w:highlight w:val="none"/>
          <w:shd w:val="clear" w:color="auto" w:fill="FFFFFF"/>
          <w:lang w:val="en-US" w:eastAsia="zh-CN"/>
        </w:rPr>
        <w:t>学习和</w:t>
      </w:r>
      <w:r>
        <w:rPr>
          <w:rFonts w:ascii="仿宋_GB2312" w:hAnsi="宋体" w:eastAsia="仿宋_GB2312" w:cs="仿宋_GB2312"/>
          <w:i w:val="0"/>
          <w:iCs w:val="0"/>
          <w:caps w:val="0"/>
          <w:color w:val="333333"/>
          <w:spacing w:val="0"/>
          <w:sz w:val="32"/>
          <w:szCs w:val="32"/>
          <w:highlight w:val="none"/>
          <w:shd w:val="clear" w:color="auto" w:fill="FFFFFF"/>
        </w:rPr>
        <w:t>宣传培训力度，认真做好</w:t>
      </w:r>
      <w:r>
        <w:rPr>
          <w:rFonts w:hint="eastAsia" w:ascii="仿宋_GB2312" w:hAnsi="宋体" w:eastAsia="仿宋_GB2312" w:cs="仿宋_GB2312"/>
          <w:i w:val="0"/>
          <w:iCs w:val="0"/>
          <w:caps w:val="0"/>
          <w:color w:val="333333"/>
          <w:spacing w:val="0"/>
          <w:sz w:val="32"/>
          <w:szCs w:val="32"/>
          <w:highlight w:val="none"/>
          <w:shd w:val="clear" w:color="auto" w:fill="FFFFFF"/>
          <w:lang w:val="en-US" w:eastAsia="zh-CN"/>
        </w:rPr>
        <w:t>局网站信息更新</w:t>
      </w:r>
      <w:r>
        <w:rPr>
          <w:rFonts w:ascii="仿宋_GB2312" w:hAnsi="宋体" w:eastAsia="仿宋_GB2312" w:cs="仿宋_GB2312"/>
          <w:i w:val="0"/>
          <w:iCs w:val="0"/>
          <w:caps w:val="0"/>
          <w:color w:val="333333"/>
          <w:spacing w:val="0"/>
          <w:sz w:val="32"/>
          <w:szCs w:val="32"/>
          <w:highlight w:val="none"/>
          <w:shd w:val="clear" w:color="auto" w:fill="FFFFFF"/>
        </w:rPr>
        <w:t>日常管理，不断提升政务公开的质量和实效</w:t>
      </w:r>
      <w:r>
        <w:rPr>
          <w:rFonts w:hint="eastAsia" w:ascii="仿宋" w:hAnsi="仿宋" w:eastAsia="仿宋" w:cs="仿宋"/>
          <w:sz w:val="32"/>
          <w:szCs w:val="32"/>
          <w:highlight w:val="none"/>
        </w:rPr>
        <w:t>。</w:t>
      </w:r>
    </w:p>
    <w:p>
      <w:pPr>
        <w:pStyle w:val="2"/>
        <w:widowControl/>
        <w:spacing w:line="360" w:lineRule="auto"/>
        <w:ind w:firstLine="640" w:firstLineChars="200"/>
        <w:jc w:val="both"/>
        <w:rPr>
          <w:rFonts w:ascii="黑体" w:hAnsi="黑体" w:eastAsia="黑体" w:cs="黑体"/>
          <w:color w:val="333333"/>
          <w:sz w:val="32"/>
          <w:szCs w:val="32"/>
        </w:rPr>
      </w:pPr>
      <w:r>
        <w:rPr>
          <w:rFonts w:hint="eastAsia" w:ascii="黑体" w:hAnsi="黑体" w:eastAsia="黑体" w:cs="黑体"/>
          <w:color w:val="333333"/>
          <w:sz w:val="32"/>
          <w:szCs w:val="32"/>
        </w:rPr>
        <w:t>六、其他需要报告的事项</w:t>
      </w:r>
    </w:p>
    <w:p>
      <w:pPr>
        <w:pStyle w:val="2"/>
        <w:widowControl/>
        <w:spacing w:line="360" w:lineRule="auto"/>
        <w:ind w:firstLine="640" w:firstLineChars="200"/>
        <w:jc w:val="both"/>
        <w:rPr>
          <w:rFonts w:hint="default" w:ascii="仿宋" w:hAnsi="仿宋" w:eastAsia="仿宋" w:cs="仿宋"/>
          <w:sz w:val="32"/>
          <w:szCs w:val="32"/>
          <w:lang w:val="en-US" w:eastAsia="zh-CN"/>
        </w:rPr>
      </w:pPr>
      <w:r>
        <w:rPr>
          <w:rFonts w:ascii="仿宋_GB2312" w:hAnsi="宋体" w:eastAsia="仿宋_GB2312" w:cs="仿宋_GB2312"/>
          <w:i w:val="0"/>
          <w:iCs w:val="0"/>
          <w:caps w:val="0"/>
          <w:color w:val="333333"/>
          <w:spacing w:val="0"/>
          <w:sz w:val="32"/>
          <w:szCs w:val="32"/>
          <w:shd w:val="clear" w:color="auto" w:fill="FFFFFF"/>
        </w:rPr>
        <w:t>政府信息处理费收取情况，</w:t>
      </w:r>
      <w:r>
        <w:rPr>
          <w:rFonts w:hint="eastAsia" w:ascii="仿宋_GB2312" w:hAnsi="宋体" w:eastAsia="仿宋_GB2312" w:cs="仿宋_GB2312"/>
          <w:i w:val="0"/>
          <w:iCs w:val="0"/>
          <w:caps w:val="0"/>
          <w:color w:val="333333"/>
          <w:spacing w:val="0"/>
          <w:sz w:val="32"/>
          <w:szCs w:val="32"/>
          <w:shd w:val="clear" w:color="auto" w:fill="FFFFFF"/>
        </w:rPr>
        <w:t>暂未收取政府信息处理费。</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CESI仿宋-GB2312">
    <w:altName w:val="微软雅黑"/>
    <w:panose1 w:val="00000000000000000000"/>
    <w:charset w:val="86"/>
    <w:family w:val="auto"/>
    <w:pitch w:val="default"/>
    <w:sig w:usb0="00000000" w:usb1="00000000" w:usb2="00000010"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933504"/>
    <w:rsid w:val="02933504"/>
    <w:rsid w:val="38BC4256"/>
    <w:rsid w:val="5DB63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2025-12-25T03:16:00Z</dcterms:created>
  <dc:creator>Administrator</dc:creator>
  <cp:lastModifiedBy>Administrator</cp:lastModifiedBy>
  <dcterms:modified xsi:type="dcterms:W3CDTF">2025-12-29T01:24:50Z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